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87F6E" w14:textId="77777777" w:rsidR="006D30F2" w:rsidRPr="006D30F2" w:rsidRDefault="006D30F2" w:rsidP="006D30F2">
      <w:pPr>
        <w:tabs>
          <w:tab w:val="left" w:pos="964"/>
          <w:tab w:val="left" w:pos="1304"/>
          <w:tab w:val="left" w:pos="1644"/>
          <w:tab w:val="left" w:pos="1985"/>
          <w:tab w:val="left" w:pos="2325"/>
        </w:tabs>
        <w:spacing w:before="120" w:after="0" w:line="240" w:lineRule="auto"/>
        <w:jc w:val="center"/>
        <w:rPr>
          <w:rFonts w:ascii="Times New Roman" w:eastAsia="Calibri" w:hAnsi="Times New Roman" w:cs="Times New Roman"/>
          <w:b/>
          <w:bCs/>
          <w:sz w:val="24"/>
          <w:szCs w:val="24"/>
        </w:rPr>
      </w:pPr>
      <w:r w:rsidRPr="006D30F2">
        <w:rPr>
          <w:rFonts w:ascii="Times New Roman" w:eastAsia="Calibri" w:hAnsi="Times New Roman" w:cs="Times New Roman"/>
          <w:b/>
          <w:bCs/>
          <w:sz w:val="24"/>
          <w:szCs w:val="24"/>
        </w:rPr>
        <w:t>Pakiet informacyjny dotyczący wskaźników referencyjnych</w:t>
      </w:r>
    </w:p>
    <w:p w14:paraId="1D6D761B"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p>
    <w:p w14:paraId="0B58A6CE"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b/>
          <w:sz w:val="24"/>
          <w:szCs w:val="24"/>
        </w:rPr>
        <w:t>Informacje ogólne dotyczące Rozporządzenia BMR oraz wskaźników referencyjnych</w:t>
      </w:r>
    </w:p>
    <w:p w14:paraId="6303DAC4"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Niniejszy dokument został sporządzony w związku z reformą wskaźników referencyjnych na mocy przepisów Rozporządzenia BMR</w:t>
      </w:r>
      <w:r w:rsidRPr="006D30F2">
        <w:rPr>
          <w:rFonts w:ascii="Times New Roman" w:eastAsia="Calibri" w:hAnsi="Times New Roman" w:cs="Times New Roman"/>
          <w:sz w:val="24"/>
          <w:szCs w:val="24"/>
          <w:vertAlign w:val="superscript"/>
        </w:rPr>
        <w:footnoteReference w:id="1"/>
      </w:r>
      <w:r w:rsidRPr="006D30F2">
        <w:rPr>
          <w:rFonts w:ascii="Times New Roman" w:eastAsia="Calibri" w:hAnsi="Times New Roman" w:cs="Times New Roman"/>
          <w:sz w:val="24"/>
          <w:szCs w:val="24"/>
        </w:rPr>
        <w:t xml:space="preserve">. Rozporządzenie BMR stosuje się bezpośrednio </w:t>
      </w:r>
      <w:r w:rsidRPr="006D30F2">
        <w:rPr>
          <w:rFonts w:ascii="Times New Roman" w:eastAsia="Calibri" w:hAnsi="Times New Roman" w:cs="Times New Roman"/>
          <w:sz w:val="24"/>
          <w:szCs w:val="24"/>
        </w:rPr>
        <w:br/>
        <w:t xml:space="preserve">w Polsce od dnia 1.01.2018 r. </w:t>
      </w:r>
    </w:p>
    <w:p w14:paraId="25EC784E"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p>
    <w:p w14:paraId="7BD01FC6"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b/>
          <w:sz w:val="24"/>
          <w:szCs w:val="24"/>
        </w:rPr>
        <w:t xml:space="preserve">Zastosowanie wskaźników referencyjnych </w:t>
      </w:r>
    </w:p>
    <w:p w14:paraId="7A5FEE28"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Kluczowe wskaźniki referencyjne stóp procentowych np. EURIBOR WIBOR, stanowią istotny element międzynarodowych rynków finansowych. Wskaźniki te służą do pomiaru rzeczywistości rynkowej i gospodarczej, na podstawie, której określa się wysokość zobowiązań finansowych stron umów opartych na zmiennej stopie procentowej. Dotyczy to transakcji finansowych takich jak np. kredyty, depozyty, instrumenty pochodne, obligacje i produkty strukturyzowane. W przypadku kredytów, naliczane odsetki, zależne są od wskaźników referencyjnych, stanowiących zmienny element umowy oraz od marży, stanowiącej najczęściej stały element umowy.</w:t>
      </w:r>
    </w:p>
    <w:p w14:paraId="4D405EDB"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Wartości wskaźników referencyjnych wyznaczane są w sposób niezależny od Banku Spółdzielczego w Koninie przez podmioty zwane administratorami danych stawek i według określonej przez nich metodologii pod nadzorem właściwego organu nadzoru. Dany wskaźnik referencyjny publikowany jest przez podmiot administratora, który uzyskał stosowne zezwolenie na pełnienie takiej funkcji przez organ nadzoru bądź korzysta z okresu przejściowego na dostosowanie swojej stawki referencyjnej do wymogów Rozporządzania BMR. </w:t>
      </w:r>
    </w:p>
    <w:p w14:paraId="3983C7CF"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0F951849"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b/>
          <w:sz w:val="24"/>
          <w:szCs w:val="24"/>
        </w:rPr>
        <w:t>Administratorzy i wymogi prawne</w:t>
      </w:r>
    </w:p>
    <w:p w14:paraId="65D151F4"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Administratorzy oraz podmioty przekazujące dane administratorom na potrzeby takiego opracowywania, muszą spełnić szereg wymogów przewidzianych w Rozporządzeniu BMR. Celem tych wymogów jest zapewnienie wysokiej wiarygodności wskaźników referencyjnych oraz zapobieganie manipulacjom nimi. </w:t>
      </w:r>
    </w:p>
    <w:p w14:paraId="2A41E8A4"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p>
    <w:p w14:paraId="3D869DBE"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b/>
          <w:sz w:val="24"/>
          <w:szCs w:val="24"/>
        </w:rPr>
        <w:t>Metodologia opracowywania wskaźników referencyjnych</w:t>
      </w:r>
    </w:p>
    <w:p w14:paraId="705E4468"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Administratorzy opracowują metodologię, która ma służyć precyzyjnemu i adekwatnemu wyznaczaniu wartości wskaźnika referencyjnego. Wartość ta, jest odwzorowaniem pewnej rzeczywistości rynkowej i ekonomicznej, którą wskaźnik referencyjny ma mierzyć, a uzyskuje się ją dzięki pomiarowi rynku bazowego właściwego dla danego wskaźnika. Wartość uzyskana w ten sposób może być podatna na zmiany zachodzące w realiach rynkowych.</w:t>
      </w:r>
    </w:p>
    <w:p w14:paraId="6B73476F"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Administrator ma obowiązek tak dobierać metodologię opracowywania wskaźnika referencyjnego, aby była ona zgodna z przepisami prawa, w szczególności, aby pomiar rynku bazowego był jak najbardziej adekwatny, dokładny i zgodny z realiami, a informacje na podstawie których następuje wyliczenie, były sprawdzalne oraz rzetelnie przekazane. </w:t>
      </w:r>
    </w:p>
    <w:p w14:paraId="40885EB1"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Jednym z obowiązków administratora, jest zapewnienie, aby metoda używana do jego wyznaczania była adekwatna do mierzenia danego rynku bazowego, zgodna z przepisami prawa, wymogami organów nadzoru oraz dostosowana do zmieniających się warunków </w:t>
      </w:r>
      <w:r w:rsidRPr="006D30F2">
        <w:rPr>
          <w:rFonts w:ascii="Times New Roman" w:eastAsia="Calibri" w:hAnsi="Times New Roman" w:cs="Times New Roman"/>
          <w:sz w:val="24"/>
          <w:szCs w:val="24"/>
        </w:rPr>
        <w:lastRenderedPageBreak/>
        <w:t>rynkowych lub ekonomicznych. W tym celu dokonuje przeglądu przyjętej metody, podczas którego może określić zmiany metody mające potencjalny wpływ na zmianę wartości samego wskaźnika referencyjnego.</w:t>
      </w:r>
    </w:p>
    <w:p w14:paraId="4AA57F65"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Każda zmiana metodologii musi być poprzedzona publicznymi komunikatami administratora oraz opublikowanym dokumentem konsultacyjnym, a cały proces jest objęty nadzorem właściwego organu nadzoru.</w:t>
      </w:r>
    </w:p>
    <w:p w14:paraId="4A153064"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Montserrat" w:hAnsi="Montserrat" w:cs="Calibri"/>
          <w:sz w:val="20"/>
          <w:szCs w:val="20"/>
        </w:rPr>
      </w:pPr>
    </w:p>
    <w:p w14:paraId="29EE38FB"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b/>
          <w:sz w:val="24"/>
          <w:szCs w:val="24"/>
        </w:rPr>
        <w:t>Obowiązki podmiotów stosujących wskaźniki referencyjne</w:t>
      </w:r>
    </w:p>
    <w:p w14:paraId="330CC80E"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Rozporządzenie BMR nakłada obowiązki także na podmioty stosuj</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ce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 xml:space="preserve">niki referencyjne (takie jak Bank). </w:t>
      </w:r>
      <w:r w:rsidRPr="006D30F2">
        <w:rPr>
          <w:rFonts w:ascii="Times New Roman" w:hAnsi="Times New Roman" w:cs="Times New Roman"/>
          <w:sz w:val="24"/>
          <w:szCs w:val="24"/>
        </w:rPr>
        <w:t>Jednym z takich obowiązków jest stosowanie w umowach</w:t>
      </w:r>
      <w:r w:rsidRPr="006D30F2">
        <w:rPr>
          <w:rFonts w:ascii="Montserrat" w:hAnsi="Montserrat" w:cs="Calibri"/>
          <w:sz w:val="24"/>
          <w:szCs w:val="24"/>
        </w:rPr>
        <w:t xml:space="preserve"> </w:t>
      </w:r>
      <w:r w:rsidRPr="006D30F2">
        <w:rPr>
          <w:rFonts w:ascii="Times New Roman" w:eastAsia="Calibri" w:hAnsi="Times New Roman" w:cs="Times New Roman"/>
          <w:sz w:val="24"/>
          <w:szCs w:val="24"/>
        </w:rPr>
        <w:t>i instrumentach finansowych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ników opracowywanych przez administrator</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w wpisanych do rejestru prowadzonego przez Europejski Urz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d Nadzoru Gie</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d i Papier</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w Warto</w:t>
      </w:r>
      <w:r w:rsidRPr="006D30F2">
        <w:rPr>
          <w:rFonts w:ascii="Times New Roman" w:eastAsia="Calibri" w:hAnsi="Times New Roman" w:cs="Times New Roman" w:hint="eastAsia"/>
          <w:sz w:val="24"/>
          <w:szCs w:val="24"/>
        </w:rPr>
        <w:t>ś</w:t>
      </w:r>
      <w:r w:rsidRPr="006D30F2">
        <w:rPr>
          <w:rFonts w:ascii="Times New Roman" w:eastAsia="Calibri" w:hAnsi="Times New Roman" w:cs="Times New Roman"/>
          <w:sz w:val="24"/>
          <w:szCs w:val="24"/>
        </w:rPr>
        <w:t xml:space="preserve">ciowych (ESMA), </w:t>
      </w:r>
      <w:r w:rsidRPr="006D30F2">
        <w:rPr>
          <w:rFonts w:ascii="Times New Roman" w:eastAsia="Calibri" w:hAnsi="Times New Roman" w:cs="Times New Roman"/>
          <w:sz w:val="24"/>
          <w:szCs w:val="24"/>
        </w:rPr>
        <w:br/>
        <w:t>co następuje po przeprowadzeniu odpowiedniego post</w:t>
      </w:r>
      <w:r w:rsidRPr="006D30F2">
        <w:rPr>
          <w:rFonts w:ascii="Times New Roman" w:eastAsia="Calibri" w:hAnsi="Times New Roman" w:cs="Times New Roman" w:hint="eastAsia"/>
          <w:sz w:val="24"/>
          <w:szCs w:val="24"/>
        </w:rPr>
        <w:t>ę</w:t>
      </w:r>
      <w:r w:rsidRPr="006D30F2">
        <w:rPr>
          <w:rFonts w:ascii="Times New Roman" w:eastAsia="Calibri" w:hAnsi="Times New Roman" w:cs="Times New Roman"/>
          <w:sz w:val="24"/>
          <w:szCs w:val="24"/>
        </w:rPr>
        <w:t>powania zatwierdzaj</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cego dzia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alno</w:t>
      </w:r>
      <w:r w:rsidRPr="006D30F2">
        <w:rPr>
          <w:rFonts w:ascii="Times New Roman" w:eastAsia="Calibri" w:hAnsi="Times New Roman" w:cs="Times New Roman" w:hint="eastAsia"/>
          <w:sz w:val="24"/>
          <w:szCs w:val="24"/>
        </w:rPr>
        <w:t>ść</w:t>
      </w:r>
      <w:r w:rsidRPr="006D30F2">
        <w:rPr>
          <w:rFonts w:ascii="Times New Roman" w:eastAsia="Calibri" w:hAnsi="Times New Roman" w:cs="Times New Roman"/>
          <w:sz w:val="24"/>
          <w:szCs w:val="24"/>
        </w:rPr>
        <w:t xml:space="preserve"> danego administratora. Dzi</w:t>
      </w:r>
      <w:r w:rsidRPr="006D30F2">
        <w:rPr>
          <w:rFonts w:ascii="Times New Roman" w:eastAsia="Calibri" w:hAnsi="Times New Roman" w:cs="Times New Roman" w:hint="eastAsia"/>
          <w:sz w:val="24"/>
          <w:szCs w:val="24"/>
        </w:rPr>
        <w:t>ę</w:t>
      </w:r>
      <w:r w:rsidRPr="006D30F2">
        <w:rPr>
          <w:rFonts w:ascii="Times New Roman" w:eastAsia="Calibri" w:hAnsi="Times New Roman" w:cs="Times New Roman"/>
          <w:sz w:val="24"/>
          <w:szCs w:val="24"/>
        </w:rPr>
        <w:t>ki temu podmioty rynku finansowego stosują jedynie wiarygodne oraz zatwierdzone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 xml:space="preserve">niki referencyjne. </w:t>
      </w:r>
    </w:p>
    <w:p w14:paraId="0C6396E2"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Klienci Banku Spółdzielczego w Koninie</w:t>
      </w:r>
      <w:r w:rsidRPr="006D30F2">
        <w:rPr>
          <w:rFonts w:ascii="Times New Roman" w:eastAsia="Calibri" w:hAnsi="Times New Roman" w:cs="Times New Roman"/>
          <w:i/>
          <w:color w:val="00B050"/>
          <w:sz w:val="24"/>
          <w:szCs w:val="24"/>
        </w:rPr>
        <w:t xml:space="preserve"> </w:t>
      </w:r>
      <w:r w:rsidRPr="006D30F2">
        <w:rPr>
          <w:rFonts w:ascii="Times New Roman" w:eastAsia="Calibri" w:hAnsi="Times New Roman" w:cs="Times New Roman"/>
          <w:sz w:val="24"/>
          <w:szCs w:val="24"/>
        </w:rPr>
        <w:t xml:space="preserve">podpisujący umowę odnoszącą się do wskaźnika referencyjnego, akceptują ryzyko jego zmiany wynikającej z okoliczności rynkowych </w:t>
      </w:r>
      <w:r w:rsidRPr="006D30F2">
        <w:rPr>
          <w:rFonts w:ascii="Times New Roman" w:eastAsia="Calibri" w:hAnsi="Times New Roman" w:cs="Times New Roman"/>
          <w:sz w:val="24"/>
          <w:szCs w:val="24"/>
        </w:rPr>
        <w:br/>
        <w:t>oraz ekonomicznych lub będących skutkiem zmiany metodologii, na podstawie której jest on opracowywany. Jednocześnie, Klienci akceptują fakt, iż zmiana wartości wskaźnika wynikająca ze zmiany metody jego opracowywania lub ze zmiany definicji, a także istotna zmiana wskaźnika ogłoszona przez jego administratora nie stanowią istotnej modyfikacji umowy lub instrumentu finansowego.</w:t>
      </w:r>
    </w:p>
    <w:p w14:paraId="63A00EC0"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bookmarkStart w:id="0" w:name="_Hlk216266196"/>
    </w:p>
    <w:p w14:paraId="0E62D3DD"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b/>
          <w:sz w:val="24"/>
          <w:szCs w:val="24"/>
        </w:rPr>
        <w:t>Informacje dotyczące zmiany sposobu oprocentowania</w:t>
      </w:r>
    </w:p>
    <w:bookmarkEnd w:id="0"/>
    <w:p w14:paraId="00667F49"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Płatność wynikająca z nabycia instrumentu finansowego lub wysokość oprocentowania wynikająca z umowy (np. umowy kredytu), podlegają przeglądowi i aktualizacji zgodnie </w:t>
      </w:r>
      <w:r w:rsidRPr="006D30F2">
        <w:rPr>
          <w:rFonts w:ascii="Times New Roman" w:eastAsia="Calibri" w:hAnsi="Times New Roman" w:cs="Times New Roman"/>
          <w:sz w:val="24"/>
          <w:szCs w:val="24"/>
        </w:rPr>
        <w:br/>
        <w:t xml:space="preserve">z okresem obowiązywania stopy procentowej, który wynika z umowy (np. okres taki dla WIBOR 3Mwynosi 3 miesiące). W dniu ustalenia oprocentowania, który wynika z umowy, Bank nalicza oprocentowanie w oparciu o aktualnie obowiązującą stawkę referencyjną, opublikowaną przez właściwego dla danej stawki referencyjnej administratora, zgodnie </w:t>
      </w:r>
      <w:r w:rsidRPr="006D30F2">
        <w:rPr>
          <w:rFonts w:ascii="Times New Roman" w:eastAsia="Calibri" w:hAnsi="Times New Roman" w:cs="Times New Roman"/>
          <w:sz w:val="24"/>
          <w:szCs w:val="24"/>
        </w:rPr>
        <w:br/>
        <w:t>z Rozporządzeniem BMR.</w:t>
      </w:r>
    </w:p>
    <w:p w14:paraId="772DB742"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p>
    <w:p w14:paraId="2FDC5178"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b/>
          <w:sz w:val="24"/>
          <w:szCs w:val="24"/>
        </w:rPr>
        <w:t>Ryzyka ogólne dotyczące różnych wskaźników referencyjnych</w:t>
      </w:r>
    </w:p>
    <w:p w14:paraId="322E3F70"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Można zidentyfikować następujące ogólne ryzyka związane ze stosowaniem wskaźników referencyjnych:</w:t>
      </w:r>
    </w:p>
    <w:p w14:paraId="3344732C" w14:textId="77777777" w:rsidR="006D30F2" w:rsidRPr="006D30F2" w:rsidRDefault="006D30F2" w:rsidP="006D30F2">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administrator danego wskaźnika referencyjnego może podjąć decyzję o zaprzestaniu jego opracowywania albo odpowiedni organ może cofnąć administratorowi zezwolenie na opracowywania danego wskaźnika;</w:t>
      </w:r>
    </w:p>
    <w:p w14:paraId="64031D66" w14:textId="77777777" w:rsidR="006D30F2" w:rsidRPr="006D30F2" w:rsidRDefault="006D30F2" w:rsidP="006D30F2">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niektóre wskaźniki referencyjne, w tym ich metodologia, mogą ulec zmianie przez administratora danego wskaźnika referencyjnego z przyczyn regulacyjnych </w:t>
      </w:r>
      <w:r w:rsidRPr="006D30F2">
        <w:rPr>
          <w:rFonts w:ascii="Times New Roman" w:eastAsia="Calibri" w:hAnsi="Times New Roman" w:cs="Times New Roman"/>
          <w:sz w:val="24"/>
          <w:szCs w:val="24"/>
        </w:rPr>
        <w:br/>
        <w:t xml:space="preserve">lub biznesowych; </w:t>
      </w:r>
    </w:p>
    <w:p w14:paraId="668BB7A8" w14:textId="77777777" w:rsidR="006D30F2" w:rsidRPr="006D30F2" w:rsidRDefault="006D30F2" w:rsidP="006D30F2">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wskaźniki referencyjne mogą przestać być publikowane lub opracowywane w całości lub w odniesieniu do konkretnego okresu odsetkowego lub konkretnej waluty </w:t>
      </w:r>
      <w:r w:rsidRPr="006D30F2">
        <w:rPr>
          <w:rFonts w:ascii="Times New Roman" w:eastAsia="Calibri" w:hAnsi="Times New Roman" w:cs="Times New Roman"/>
          <w:sz w:val="24"/>
          <w:szCs w:val="24"/>
        </w:rPr>
        <w:br/>
        <w:t>(w przypadku LIBOR), a odpowiednie wskaźniki alternatywne mogą nie zostać wyznaczone;</w:t>
      </w:r>
    </w:p>
    <w:p w14:paraId="19118D90" w14:textId="77777777" w:rsidR="006D30F2" w:rsidRPr="006D30F2" w:rsidRDefault="006D30F2" w:rsidP="006D30F2">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sz w:val="24"/>
          <w:szCs w:val="24"/>
        </w:rPr>
        <w:lastRenderedPageBreak/>
        <w:t>może istnieć uzasadniona potrzeba zmiany umów finansowych lub instrumentów finansowych poprzez odwołanie się do stóp wolnych od ryzyka (tzw. stóp RFR).</w:t>
      </w:r>
    </w:p>
    <w:p w14:paraId="51708582" w14:textId="77777777" w:rsidR="006D30F2" w:rsidRPr="006D30F2" w:rsidRDefault="006D30F2" w:rsidP="006D30F2">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wskaźniki referencyjne mogą przestać w sposób adekwatny odzwierciedlać rzeczywistość rynkową i ekonomiczną, ze względu na zaprzestanie przekazywania danych wejściowych przez podmioty przekazujące takie niezbędne do opracowywania dane lub wskaźnik referencyjny zostanie uznany przez właściwy organ nadzoru za niewiarygodny, przez co nie będzie kwalifikował się do pomiaru danego rynku bazowego;</w:t>
      </w:r>
    </w:p>
    <w:p w14:paraId="64BEAEE8"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p>
    <w:p w14:paraId="0248DC97"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b/>
          <w:sz w:val="24"/>
          <w:szCs w:val="24"/>
        </w:rPr>
        <w:t xml:space="preserve">Ryzyko zaprzestania przez administratora opracowywania wskaźnika referencyjnego </w:t>
      </w:r>
      <w:r w:rsidRPr="006D30F2">
        <w:rPr>
          <w:rFonts w:ascii="Times New Roman" w:eastAsia="Calibri" w:hAnsi="Times New Roman" w:cs="Times New Roman"/>
          <w:b/>
          <w:sz w:val="24"/>
          <w:szCs w:val="24"/>
        </w:rPr>
        <w:br/>
        <w:t>w sposób trwały lub czasowy</w:t>
      </w:r>
    </w:p>
    <w:p w14:paraId="40434C52"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Administrator jest uprawniony do zaprzestania w sposób trwały opracowywania wskaźnika referencyjnego. Następuje to w trybie określonym w dokumentacji wskaźnika referencyjnego opublikowanej przez administratora na jego stronie internetowej. W </w:t>
      </w:r>
      <w:r w:rsidRPr="006D30F2">
        <w:rPr>
          <w:rFonts w:ascii="Times New Roman" w:hAnsi="Times New Roman" w:cs="Times New Roman"/>
          <w:sz w:val="24"/>
          <w:szCs w:val="24"/>
        </w:rPr>
        <w:t>przypadku zaistnienia takiej okoliczności określone uprawnienia</w:t>
      </w:r>
      <w:r w:rsidRPr="006D30F2">
        <w:rPr>
          <w:rFonts w:ascii="Montserrat" w:hAnsi="Montserrat" w:cs="Calibri"/>
          <w:sz w:val="24"/>
          <w:szCs w:val="24"/>
        </w:rPr>
        <w:t xml:space="preserve"> </w:t>
      </w:r>
      <w:r w:rsidRPr="006D30F2">
        <w:rPr>
          <w:rFonts w:ascii="Times New Roman" w:eastAsia="Calibri" w:hAnsi="Times New Roman" w:cs="Times New Roman"/>
          <w:sz w:val="24"/>
          <w:szCs w:val="24"/>
        </w:rPr>
        <w:t xml:space="preserve">posiadają organy nadzoru, co wynika z art. 21 </w:t>
      </w:r>
      <w:r w:rsidRPr="006D30F2">
        <w:rPr>
          <w:rFonts w:ascii="Times New Roman" w:eastAsia="Calibri" w:hAnsi="Times New Roman" w:cs="Times New Roman"/>
          <w:sz w:val="24"/>
          <w:szCs w:val="24"/>
        </w:rPr>
        <w:br/>
        <w:t xml:space="preserve">oraz 23 Rozporządzenia BMR. Administrator może podjąć decyzję o zaprzestaniu opracowywania wskaźnika referencyjnego w szczególności z przyczyn biznesowych (czynnik pozaekonomiczny) lub z uwagi na uznanie przez administratora, że dane wykorzystywane do opracowywania wskaźnika referencyjnego nie są reprezentatywne dla rynku lub realiów gospodarczych.  Zaprzestanie opracowywania wskaźnika referencyjnego poprzedza proces konsultacji publicznych trwający zazwyczaj kilka miesięcy, w ramach których administrator określa datę, od której zamierza zaprzestać opracowywania wskaźnika referencyjnego. </w:t>
      </w:r>
    </w:p>
    <w:p w14:paraId="70D3B9DC"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Dodatkowo metoda opracowywania wskaźnika referencyjnego zwyczajowo wskazuje, </w:t>
      </w:r>
      <w:r w:rsidRPr="006D30F2">
        <w:rPr>
          <w:rFonts w:ascii="Times New Roman" w:eastAsia="Calibri" w:hAnsi="Times New Roman" w:cs="Times New Roman"/>
          <w:sz w:val="24"/>
          <w:szCs w:val="24"/>
        </w:rPr>
        <w:br/>
        <w:t xml:space="preserve">że istnieją okoliczności, w których w danym dniu administrator może nie być w stanie wyznaczyć wartości wskaźnika referencyjnego. Przykładem sytuacji nieotrzymania przez administratora w danym dniu wystarczającej ilości danych niezbędnych do wyznaczenia </w:t>
      </w:r>
      <w:r w:rsidRPr="006D30F2">
        <w:rPr>
          <w:rFonts w:ascii="Times New Roman" w:eastAsia="Calibri" w:hAnsi="Times New Roman" w:cs="Times New Roman"/>
          <w:sz w:val="24"/>
          <w:szCs w:val="24"/>
        </w:rPr>
        <w:br/>
        <w:t xml:space="preserve">w danym dniu wartości wskaźnika referencyjnego. </w:t>
      </w:r>
    </w:p>
    <w:p w14:paraId="058E1620"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Konsekwencją trwałego lub czasowego zaprzestania przez administratora opracowywania wskaźnika referencyjnego może być brak możliwości wykorzystania przez Bank wskaźnika referencyjnego do ustalenia wartości wzajemnych świadczeń wynikających z umowy zawartej pomiędzy bankiem a Klientem. W takiej sytuacji zastosowanie znajdą postanowienia umowy łączącej Klienta z Bankiem.</w:t>
      </w:r>
    </w:p>
    <w:p w14:paraId="36F37E00"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p>
    <w:p w14:paraId="36359E91"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6D30F2">
        <w:rPr>
          <w:rFonts w:ascii="Times New Roman" w:eastAsia="Calibri" w:hAnsi="Times New Roman" w:cs="Times New Roman"/>
          <w:b/>
          <w:sz w:val="24"/>
          <w:szCs w:val="24"/>
        </w:rPr>
        <w:t>Ryzyko zmiany przez administratora metody opracowywania wskaźnika referencyjnego</w:t>
      </w:r>
    </w:p>
    <w:p w14:paraId="1EACBF8B" w14:textId="24E046B4" w:rsid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Administrator na podstawie posiadanego zezwolenia jest uprawniony do wprowadzenia zmiany w metodzie opracowywania wskaźnika referencyjnego. Następuje to w trybie określonym </w:t>
      </w:r>
      <w:r w:rsidRPr="006D30F2">
        <w:rPr>
          <w:rFonts w:ascii="Times New Roman" w:eastAsia="Calibri" w:hAnsi="Times New Roman" w:cs="Times New Roman"/>
          <w:sz w:val="24"/>
          <w:szCs w:val="24"/>
        </w:rPr>
        <w:br/>
        <w:t xml:space="preserve">w dokumentacji wskaźnika referencyjnego opublikowanej przez administratora na jego stronie internetowej. Zgodnie ze zwyczajowo opublikowaną przez administratora informacją ogólną </w:t>
      </w:r>
      <w:r w:rsidRPr="006D30F2">
        <w:rPr>
          <w:rFonts w:ascii="Times New Roman" w:eastAsia="Calibri" w:hAnsi="Times New Roman" w:cs="Times New Roman"/>
          <w:sz w:val="24"/>
          <w:szCs w:val="24"/>
        </w:rPr>
        <w:br/>
        <w:t>w zakresie procesu zmiany metody opracowywania wskaźnika referencyjnego dokonanie takiej zmiany poprzedza proces konsultacji publicznych. W ramach tych konsultacji, których administrator określa zakres proponowanej zmiany oraz jej uzasadnienie. Przykładem uzasadnienia dokonania takiej zmiany jest konieczność dostosowania metody opracowywania wskaźnika referencyjnego do wymogów Rozporządzenia BMR, wytycznych organu nadzoru lub rekomendacji jednostki nadzorczej. Konsekwencją zmiany w metodzie opracowywania wskaźnika referencyjnego może być zmiana jego wartości. Podwyższenie lub obniżenie wartości wskaźnika referencyjnego może wpłynąć na wysokość wzajemnych zobowiązań pomiędzy Klientem a Bankiem wynikających z zawartej umowy lub może wpłynąć na wycenę posiadanego przez Klienta instrumentu finansowego.</w:t>
      </w:r>
    </w:p>
    <w:p w14:paraId="4B053DEF"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p>
    <w:tbl>
      <w:tblPr>
        <w:tblStyle w:val="Tabela-Siatka"/>
        <w:tblW w:w="0" w:type="auto"/>
        <w:tblInd w:w="-147" w:type="dxa"/>
        <w:tblLook w:val="04A0" w:firstRow="1" w:lastRow="0" w:firstColumn="1" w:lastColumn="0" w:noHBand="0" w:noVBand="1"/>
      </w:tblPr>
      <w:tblGrid>
        <w:gridCol w:w="9209"/>
      </w:tblGrid>
      <w:tr w:rsidR="006D30F2" w:rsidRPr="006D30F2" w14:paraId="131D00F5" w14:textId="77777777" w:rsidTr="00FB5D6C">
        <w:tc>
          <w:tcPr>
            <w:tcW w:w="9209" w:type="dxa"/>
            <w:shd w:val="clear" w:color="auto" w:fill="D9D9D9" w:themeFill="background1" w:themeFillShade="D9"/>
          </w:tcPr>
          <w:p w14:paraId="643CFF5A" w14:textId="77777777" w:rsidR="006D30F2" w:rsidRPr="006D30F2" w:rsidRDefault="006D30F2" w:rsidP="006D30F2">
            <w:pPr>
              <w:tabs>
                <w:tab w:val="left" w:pos="964"/>
                <w:tab w:val="left" w:pos="1304"/>
                <w:tab w:val="left" w:pos="1644"/>
                <w:tab w:val="left" w:pos="1985"/>
                <w:tab w:val="left" w:pos="2325"/>
              </w:tabs>
              <w:jc w:val="center"/>
              <w:rPr>
                <w:rFonts w:cs="Calibri"/>
                <w:b/>
                <w:lang w:val="en-US"/>
              </w:rPr>
            </w:pPr>
            <w:r w:rsidRPr="006D30F2">
              <w:rPr>
                <w:rFonts w:ascii="Times New Roman" w:eastAsia="Calibri" w:hAnsi="Times New Roman" w:cs="Times New Roman"/>
                <w:b/>
                <w:sz w:val="24"/>
                <w:szCs w:val="24"/>
              </w:rPr>
              <w:lastRenderedPageBreak/>
              <w:t>Informacje o wska</w:t>
            </w:r>
            <w:r w:rsidRPr="006D30F2">
              <w:rPr>
                <w:rFonts w:ascii="Times New Roman" w:eastAsia="Calibri" w:hAnsi="Times New Roman" w:cs="Times New Roman" w:hint="eastAsia"/>
                <w:b/>
                <w:sz w:val="24"/>
                <w:szCs w:val="24"/>
              </w:rPr>
              <w:t>ź</w:t>
            </w:r>
            <w:r w:rsidRPr="006D30F2">
              <w:rPr>
                <w:rFonts w:ascii="Times New Roman" w:eastAsia="Calibri" w:hAnsi="Times New Roman" w:cs="Times New Roman"/>
                <w:b/>
                <w:sz w:val="24"/>
                <w:szCs w:val="24"/>
              </w:rPr>
              <w:t>niku WIBOR</w:t>
            </w:r>
          </w:p>
        </w:tc>
      </w:tr>
      <w:tr w:rsidR="006D30F2" w:rsidRPr="006D30F2" w14:paraId="41357014" w14:textId="77777777" w:rsidTr="00FB5D6C">
        <w:tc>
          <w:tcPr>
            <w:tcW w:w="9209" w:type="dxa"/>
          </w:tcPr>
          <w:p w14:paraId="5ABA61A3" w14:textId="77777777" w:rsidR="006D30F2" w:rsidRPr="006D30F2" w:rsidRDefault="006D30F2" w:rsidP="006D30F2">
            <w:pPr>
              <w:tabs>
                <w:tab w:val="left" w:pos="964"/>
                <w:tab w:val="left" w:pos="1304"/>
                <w:tab w:val="left" w:pos="1644"/>
                <w:tab w:val="left" w:pos="1985"/>
                <w:tab w:val="left" w:pos="2325"/>
              </w:tabs>
              <w:spacing w:after="120"/>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WIBOR jest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nikiem referencyjnym stopy procentowej, zakwalifikowanym jako kluczowy w rozumieniu Rozporz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dzenia BMR, opracowywanym na dzie</w:t>
            </w:r>
            <w:r w:rsidRPr="006D30F2">
              <w:rPr>
                <w:rFonts w:ascii="Times New Roman" w:eastAsia="Calibri" w:hAnsi="Times New Roman" w:cs="Times New Roman" w:hint="eastAsia"/>
                <w:sz w:val="24"/>
                <w:szCs w:val="24"/>
              </w:rPr>
              <w:t>ń</w:t>
            </w:r>
            <w:r w:rsidRPr="006D30F2">
              <w:rPr>
                <w:rFonts w:ascii="Times New Roman" w:eastAsia="Calibri" w:hAnsi="Times New Roman" w:cs="Times New Roman"/>
                <w:sz w:val="24"/>
                <w:szCs w:val="24"/>
              </w:rPr>
              <w:t xml:space="preserve"> przekazania dokumentu informacyjnego przez GPW Benchmark S.A. Wraz z WIBOR Administrator opracowuje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 xml:space="preserve">nik referencyjny stopy procentowej WIBID. </w:t>
            </w:r>
          </w:p>
          <w:p w14:paraId="3B40919E" w14:textId="77777777" w:rsidR="006D30F2" w:rsidRPr="006D30F2" w:rsidRDefault="006D30F2" w:rsidP="006D30F2">
            <w:pPr>
              <w:tabs>
                <w:tab w:val="left" w:pos="964"/>
                <w:tab w:val="left" w:pos="1304"/>
                <w:tab w:val="left" w:pos="1644"/>
                <w:tab w:val="left" w:pos="1985"/>
                <w:tab w:val="left" w:pos="2325"/>
              </w:tabs>
              <w:spacing w:after="120"/>
              <w:jc w:val="both"/>
              <w:rPr>
                <w:rFonts w:cs="Calibri"/>
              </w:rPr>
            </w:pPr>
            <w:r w:rsidRPr="006D30F2">
              <w:rPr>
                <w:rFonts w:ascii="Times New Roman" w:eastAsia="Calibri" w:hAnsi="Times New Roman" w:cs="Times New Roman"/>
                <w:sz w:val="24"/>
                <w:szCs w:val="24"/>
              </w:rPr>
              <w:t>WIBOR wraz z WIBID opracowywane s</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 xml:space="preserve"> wed</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ug metody samodzielnie okre</w:t>
            </w:r>
            <w:r w:rsidRPr="006D30F2">
              <w:rPr>
                <w:rFonts w:ascii="Times New Roman" w:eastAsia="Calibri" w:hAnsi="Times New Roman" w:cs="Times New Roman" w:hint="eastAsia"/>
                <w:sz w:val="24"/>
                <w:szCs w:val="24"/>
              </w:rPr>
              <w:t>ś</w:t>
            </w:r>
            <w:r w:rsidRPr="006D30F2">
              <w:rPr>
                <w:rFonts w:ascii="Times New Roman" w:eastAsia="Calibri" w:hAnsi="Times New Roman" w:cs="Times New Roman"/>
                <w:sz w:val="24"/>
                <w:szCs w:val="24"/>
              </w:rPr>
              <w:t>lonej przez GPW Benchmark S.A. pod</w:t>
            </w:r>
            <w:r w:rsidRPr="006D30F2">
              <w:rPr>
                <w:rFonts w:ascii="Times New Roman" w:eastAsia="Calibri" w:hAnsi="Times New Roman" w:cs="Times New Roman" w:hint="eastAsia"/>
                <w:sz w:val="24"/>
                <w:szCs w:val="24"/>
              </w:rPr>
              <w:t> </w:t>
            </w:r>
            <w:r w:rsidRPr="006D30F2">
              <w:rPr>
                <w:rFonts w:ascii="Times New Roman" w:eastAsia="Calibri" w:hAnsi="Times New Roman" w:cs="Times New Roman"/>
                <w:sz w:val="24"/>
                <w:szCs w:val="24"/>
              </w:rPr>
              <w:t>nadzorem Komisji Nadzoru Finansowego. Szczeg</w:t>
            </w:r>
            <w:r w:rsidRPr="006D30F2">
              <w:rPr>
                <w:rFonts w:ascii="Times New Roman" w:eastAsia="Calibri" w:hAnsi="Times New Roman" w:cs="Times New Roman" w:hint="eastAsia"/>
                <w:sz w:val="24"/>
                <w:szCs w:val="24"/>
              </w:rPr>
              <w:t>ół</w:t>
            </w:r>
            <w:r w:rsidRPr="006D30F2">
              <w:rPr>
                <w:rFonts w:ascii="Times New Roman" w:eastAsia="Calibri" w:hAnsi="Times New Roman" w:cs="Times New Roman"/>
                <w:sz w:val="24"/>
                <w:szCs w:val="24"/>
              </w:rPr>
              <w:t>y dotycz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ce WIBOR/WIBID, w tym opis metody jego opracowywania zasady dotycz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ce wprowadzania przez administratora istotnej zmiany metody, kluczowe informacje na temat tych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w, w tym godziny ich publikacji, informacje o ich warto</w:t>
            </w:r>
            <w:r w:rsidRPr="006D30F2">
              <w:rPr>
                <w:rFonts w:ascii="Times New Roman" w:eastAsia="Calibri" w:hAnsi="Times New Roman" w:cs="Times New Roman" w:hint="eastAsia"/>
                <w:sz w:val="24"/>
                <w:szCs w:val="24"/>
              </w:rPr>
              <w:t>ś</w:t>
            </w:r>
            <w:r w:rsidRPr="006D30F2">
              <w:rPr>
                <w:rFonts w:ascii="Times New Roman" w:eastAsia="Calibri" w:hAnsi="Times New Roman" w:cs="Times New Roman"/>
                <w:sz w:val="24"/>
                <w:szCs w:val="24"/>
              </w:rPr>
              <w:t>ci oraz procedury dotycz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ce przyjmowania i rozpatrywania skarg dotycz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cych procesu jego wyznaczania GPW Benchmark S.A. opublikowa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 xml:space="preserve"> na stronie internetowej pod adresem</w:t>
            </w:r>
            <w:r w:rsidRPr="006D30F2">
              <w:rPr>
                <w:rFonts w:cs="Calibri"/>
              </w:rPr>
              <w:t xml:space="preserve">: </w:t>
            </w:r>
            <w:hyperlink r:id="rId7" w:history="1">
              <w:r w:rsidRPr="006D30F2">
                <w:rPr>
                  <w:rFonts w:cs="Calibri"/>
                  <w:color w:val="0563C1" w:themeColor="hyperlink"/>
                  <w:u w:val="single"/>
                </w:rPr>
                <w:t>www.gpwbenchmark.pl/</w:t>
              </w:r>
            </w:hyperlink>
            <w:r w:rsidRPr="006D30F2">
              <w:rPr>
                <w:rFonts w:cs="Calibri"/>
              </w:rPr>
              <w:t>.</w:t>
            </w:r>
          </w:p>
          <w:p w14:paraId="371F275A" w14:textId="77777777" w:rsidR="006D30F2" w:rsidRPr="006D30F2" w:rsidRDefault="006D30F2" w:rsidP="006D30F2">
            <w:pPr>
              <w:tabs>
                <w:tab w:val="left" w:pos="964"/>
                <w:tab w:val="left" w:pos="1304"/>
                <w:tab w:val="left" w:pos="1644"/>
                <w:tab w:val="left" w:pos="1985"/>
                <w:tab w:val="left" w:pos="2325"/>
              </w:tabs>
              <w:spacing w:after="120"/>
              <w:jc w:val="both"/>
              <w:rPr>
                <w:rFonts w:cs="Calibri"/>
                <w:lang w:val="en-US"/>
              </w:rPr>
            </w:pPr>
            <w:r w:rsidRPr="006D30F2">
              <w:rPr>
                <w:rFonts w:ascii="Times New Roman" w:eastAsia="Calibri" w:hAnsi="Times New Roman" w:cs="Times New Roman"/>
                <w:sz w:val="24"/>
                <w:szCs w:val="24"/>
              </w:rPr>
              <w:t>W dniu 16 grudnia 2020 r. KNF wyda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a zezwolenie na prowadzenie przez GPW Benchmark S.A. dzia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alno</w:t>
            </w:r>
            <w:r w:rsidRPr="006D30F2">
              <w:rPr>
                <w:rFonts w:ascii="Times New Roman" w:eastAsia="Calibri" w:hAnsi="Times New Roman" w:cs="Times New Roman" w:hint="eastAsia"/>
                <w:sz w:val="24"/>
                <w:szCs w:val="24"/>
              </w:rPr>
              <w:t>ś</w:t>
            </w:r>
            <w:r w:rsidRPr="006D30F2">
              <w:rPr>
                <w:rFonts w:ascii="Times New Roman" w:eastAsia="Calibri" w:hAnsi="Times New Roman" w:cs="Times New Roman"/>
                <w:sz w:val="24"/>
                <w:szCs w:val="24"/>
              </w:rPr>
              <w:t>ci jako administrator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w referencyjnych st</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p procentowych, w tym kluczowych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 xml:space="preserve">w referencyjnych. Wydanie przez KNF zezwolenia dla GPW Benchmark S.A. oznacza, </w:t>
            </w:r>
            <w:r w:rsidRPr="006D30F2">
              <w:rPr>
                <w:rFonts w:ascii="Times New Roman" w:eastAsia="Calibri" w:hAnsi="Times New Roman" w:cs="Times New Roman" w:hint="eastAsia"/>
                <w:sz w:val="24"/>
                <w:szCs w:val="24"/>
              </w:rPr>
              <w:t>ż</w:t>
            </w:r>
            <w:r w:rsidRPr="006D30F2">
              <w:rPr>
                <w:rFonts w:ascii="Times New Roman" w:eastAsia="Calibri" w:hAnsi="Times New Roman" w:cs="Times New Roman"/>
                <w:sz w:val="24"/>
                <w:szCs w:val="24"/>
              </w:rPr>
              <w:t>e organ nadzoru finansowego uzna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 xml:space="preserve"> proces wyznaczania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nika referencyjnego WIBOR/WIBID za zgodny z wymaganiami na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o</w:t>
            </w:r>
            <w:r w:rsidRPr="006D30F2">
              <w:rPr>
                <w:rFonts w:ascii="Times New Roman" w:eastAsia="Calibri" w:hAnsi="Times New Roman" w:cs="Times New Roman" w:hint="eastAsia"/>
                <w:sz w:val="24"/>
                <w:szCs w:val="24"/>
              </w:rPr>
              <w:t>ż</w:t>
            </w:r>
            <w:r w:rsidRPr="006D30F2">
              <w:rPr>
                <w:rFonts w:ascii="Times New Roman" w:eastAsia="Calibri" w:hAnsi="Times New Roman" w:cs="Times New Roman"/>
                <w:sz w:val="24"/>
                <w:szCs w:val="24"/>
              </w:rPr>
              <w:t>onymi przez Rozporz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dzenie BMR. W zwi</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zku z otrzymaniem zezwolenia, GPW</w:t>
            </w:r>
            <w:r w:rsidRPr="006D30F2">
              <w:rPr>
                <w:rFonts w:ascii="Times New Roman" w:eastAsia="Calibri" w:hAnsi="Times New Roman" w:cs="Times New Roman" w:hint="eastAsia"/>
                <w:sz w:val="24"/>
                <w:szCs w:val="24"/>
              </w:rPr>
              <w:t> </w:t>
            </w:r>
            <w:r w:rsidRPr="006D30F2">
              <w:rPr>
                <w:rFonts w:ascii="Times New Roman" w:eastAsia="Calibri" w:hAnsi="Times New Roman" w:cs="Times New Roman"/>
                <w:sz w:val="24"/>
                <w:szCs w:val="24"/>
              </w:rPr>
              <w:t>Benchmark S.A. opublikowa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 xml:space="preserve"> o</w:t>
            </w:r>
            <w:r w:rsidRPr="006D30F2">
              <w:rPr>
                <w:rFonts w:ascii="Times New Roman" w:eastAsia="Calibri" w:hAnsi="Times New Roman" w:cs="Times New Roman" w:hint="eastAsia"/>
                <w:sz w:val="24"/>
                <w:szCs w:val="24"/>
              </w:rPr>
              <w:t>ś</w:t>
            </w:r>
            <w:r w:rsidRPr="006D30F2">
              <w:rPr>
                <w:rFonts w:ascii="Times New Roman" w:eastAsia="Calibri" w:hAnsi="Times New Roman" w:cs="Times New Roman"/>
                <w:sz w:val="24"/>
                <w:szCs w:val="24"/>
              </w:rPr>
              <w:t>wiadczenie dot. WIBID i WIBOR, o kt</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rym mowa w art. 27 Rozporz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dzenia BMR (tzw. benchmark statement), zawieraj</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ce kluczowe informacje o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nikach WIBID i WIBOR.</w:t>
            </w:r>
            <w:r w:rsidRPr="006D30F2">
              <w:rPr>
                <w:rFonts w:ascii="Times New Roman" w:eastAsia="Calibri" w:hAnsi="Times New Roman" w:cs="Times New Roman"/>
                <w:sz w:val="24"/>
                <w:szCs w:val="24"/>
              </w:rPr>
              <w:footnoteReference w:id="2"/>
            </w:r>
            <w:r w:rsidRPr="006D30F2">
              <w:rPr>
                <w:rFonts w:ascii="Times New Roman" w:eastAsia="Calibri" w:hAnsi="Times New Roman" w:cs="Times New Roman"/>
                <w:sz w:val="24"/>
                <w:szCs w:val="24"/>
              </w:rPr>
              <w:t>. Na podstawie otrzymanego zezwolenia GPWB zosta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a uprawniona do opracowywania innych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w st</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p procentowych, kt</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rych proces wyznaczania b</w:t>
            </w:r>
            <w:r w:rsidRPr="006D30F2">
              <w:rPr>
                <w:rFonts w:ascii="Times New Roman" w:eastAsia="Calibri" w:hAnsi="Times New Roman" w:cs="Times New Roman" w:hint="eastAsia"/>
                <w:sz w:val="24"/>
                <w:szCs w:val="24"/>
              </w:rPr>
              <w:t>ę</w:t>
            </w:r>
            <w:r w:rsidRPr="006D30F2">
              <w:rPr>
                <w:rFonts w:ascii="Times New Roman" w:eastAsia="Calibri" w:hAnsi="Times New Roman" w:cs="Times New Roman"/>
                <w:sz w:val="24"/>
                <w:szCs w:val="24"/>
              </w:rPr>
              <w:t>dzie odbywa</w:t>
            </w:r>
            <w:r w:rsidRPr="006D30F2">
              <w:rPr>
                <w:rFonts w:ascii="Times New Roman" w:eastAsia="Calibri" w:hAnsi="Times New Roman" w:cs="Times New Roman" w:hint="eastAsia"/>
                <w:sz w:val="24"/>
                <w:szCs w:val="24"/>
              </w:rPr>
              <w:t>ć</w:t>
            </w:r>
            <w:r w:rsidRPr="006D30F2">
              <w:rPr>
                <w:rFonts w:ascii="Times New Roman" w:eastAsia="Calibri" w:hAnsi="Times New Roman" w:cs="Times New Roman"/>
                <w:sz w:val="24"/>
                <w:szCs w:val="24"/>
              </w:rPr>
              <w:t xml:space="preserve"> si</w:t>
            </w:r>
            <w:r w:rsidRPr="006D30F2">
              <w:rPr>
                <w:rFonts w:ascii="Times New Roman" w:eastAsia="Calibri" w:hAnsi="Times New Roman" w:cs="Times New Roman" w:hint="eastAsia"/>
                <w:sz w:val="24"/>
                <w:szCs w:val="24"/>
              </w:rPr>
              <w:t>ę</w:t>
            </w:r>
            <w:r w:rsidRPr="006D30F2">
              <w:rPr>
                <w:rFonts w:ascii="Times New Roman" w:eastAsia="Calibri" w:hAnsi="Times New Roman" w:cs="Times New Roman"/>
                <w:sz w:val="24"/>
                <w:szCs w:val="24"/>
              </w:rPr>
              <w:t xml:space="preserve"> zgodnie </w:t>
            </w:r>
            <w:r w:rsidRPr="006D30F2">
              <w:rPr>
                <w:rFonts w:ascii="Times New Roman" w:eastAsia="Calibri" w:hAnsi="Times New Roman" w:cs="Times New Roman"/>
                <w:sz w:val="24"/>
                <w:szCs w:val="24"/>
              </w:rPr>
              <w:br/>
              <w:t>z wymogami Rozporz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dzenia BMR.</w:t>
            </w:r>
          </w:p>
        </w:tc>
      </w:tr>
      <w:tr w:rsidR="006D30F2" w:rsidRPr="006D30F2" w14:paraId="1FCD4C1D" w14:textId="77777777" w:rsidTr="00FB5D6C">
        <w:tc>
          <w:tcPr>
            <w:tcW w:w="9209" w:type="dxa"/>
          </w:tcPr>
          <w:p w14:paraId="3A197493" w14:textId="77777777" w:rsidR="006D30F2" w:rsidRPr="006D30F2" w:rsidRDefault="006D30F2" w:rsidP="006D30F2">
            <w:pPr>
              <w:spacing w:after="120"/>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Z dniem 13 lipca 2022 r. zosta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a powo</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ana przez Komisj</w:t>
            </w:r>
            <w:r w:rsidRPr="006D30F2">
              <w:rPr>
                <w:rFonts w:ascii="Times New Roman" w:eastAsia="Calibri" w:hAnsi="Times New Roman" w:cs="Times New Roman" w:hint="eastAsia"/>
                <w:sz w:val="24"/>
                <w:szCs w:val="24"/>
              </w:rPr>
              <w:t>ę</w:t>
            </w:r>
            <w:r w:rsidRPr="006D30F2">
              <w:rPr>
                <w:rFonts w:ascii="Times New Roman" w:eastAsia="Calibri" w:hAnsi="Times New Roman" w:cs="Times New Roman"/>
                <w:sz w:val="24"/>
                <w:szCs w:val="24"/>
              </w:rPr>
              <w:t xml:space="preserve"> Nadzoru Finansowego Narodowa Grupa Robocza do spraw reformy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w referencyjnych (</w:t>
            </w:r>
            <w:r w:rsidRPr="006D30F2">
              <w:rPr>
                <w:rFonts w:ascii="Times New Roman" w:eastAsia="Calibri" w:hAnsi="Times New Roman" w:cs="Times New Roman" w:hint="eastAsia"/>
                <w:sz w:val="24"/>
                <w:szCs w:val="24"/>
              </w:rPr>
              <w:t>„</w:t>
            </w:r>
            <w:r w:rsidRPr="006D30F2">
              <w:rPr>
                <w:rFonts w:ascii="Times New Roman" w:eastAsia="Calibri" w:hAnsi="Times New Roman" w:cs="Times New Roman"/>
                <w:sz w:val="24"/>
                <w:szCs w:val="24"/>
              </w:rPr>
              <w:t>NGR</w:t>
            </w:r>
            <w:r w:rsidRPr="006D30F2">
              <w:rPr>
                <w:rFonts w:ascii="Times New Roman" w:eastAsia="Calibri" w:hAnsi="Times New Roman" w:cs="Times New Roman" w:hint="eastAsia"/>
                <w:sz w:val="24"/>
                <w:szCs w:val="24"/>
              </w:rPr>
              <w:t>”</w:t>
            </w:r>
            <w:r w:rsidRPr="006D30F2">
              <w:rPr>
                <w:rFonts w:ascii="Times New Roman" w:eastAsia="Calibri" w:hAnsi="Times New Roman" w:cs="Times New Roman"/>
                <w:sz w:val="24"/>
                <w:szCs w:val="24"/>
              </w:rPr>
              <w:t>). NGR jest nadzorowana i koordynowana przez Komitet Steruj</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cy, w kt</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rego sk</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ad wchodz</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 xml:space="preserve"> przedstawiciele kluczowych instytucji: Komisji Nadzoru Finansowego, Narodowego Banku Polskiego, Ministerstwa Finans</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w, Bankowego Funduszu Gwarancyjnego, Polskiego Funduszu Rozwoju, a tak</w:t>
            </w:r>
            <w:r w:rsidRPr="006D30F2">
              <w:rPr>
                <w:rFonts w:ascii="Times New Roman" w:eastAsia="Calibri" w:hAnsi="Times New Roman" w:cs="Times New Roman" w:hint="eastAsia"/>
                <w:sz w:val="24"/>
                <w:szCs w:val="24"/>
              </w:rPr>
              <w:t>ż</w:t>
            </w:r>
            <w:r w:rsidRPr="006D30F2">
              <w:rPr>
                <w:rFonts w:ascii="Times New Roman" w:eastAsia="Calibri" w:hAnsi="Times New Roman" w:cs="Times New Roman"/>
                <w:sz w:val="24"/>
                <w:szCs w:val="24"/>
              </w:rPr>
              <w:t>e GPW Benchmark S.A. i rotacyjnego przedstawiciela sektora bankowego. Zadaniem NGR jest przygotowanie procesu skutecznego wdro</w:t>
            </w:r>
            <w:r w:rsidRPr="006D30F2">
              <w:rPr>
                <w:rFonts w:ascii="Times New Roman" w:eastAsia="Calibri" w:hAnsi="Times New Roman" w:cs="Times New Roman" w:hint="eastAsia"/>
                <w:sz w:val="24"/>
                <w:szCs w:val="24"/>
              </w:rPr>
              <w:t>ż</w:t>
            </w:r>
            <w:r w:rsidRPr="006D30F2">
              <w:rPr>
                <w:rFonts w:ascii="Times New Roman" w:eastAsia="Calibri" w:hAnsi="Times New Roman" w:cs="Times New Roman"/>
                <w:sz w:val="24"/>
                <w:szCs w:val="24"/>
              </w:rPr>
              <w:t>enia nowego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nika typu RFR na polskim rynku finansowym oraz zast</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pienia nim stosowanych obecnie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w referencyjnych stopy procentowej WIBOR i WIBID.</w:t>
            </w:r>
          </w:p>
          <w:p w14:paraId="7D9A05EA" w14:textId="77777777" w:rsidR="006D30F2" w:rsidRPr="006D30F2" w:rsidRDefault="006D30F2" w:rsidP="006D30F2">
            <w:pPr>
              <w:spacing w:after="120"/>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Po przeprowadzeniu konsultacji spo</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ecznych, we wrze</w:t>
            </w:r>
            <w:r w:rsidRPr="006D30F2">
              <w:rPr>
                <w:rFonts w:ascii="Times New Roman" w:eastAsia="Calibri" w:hAnsi="Times New Roman" w:cs="Times New Roman" w:hint="eastAsia"/>
                <w:sz w:val="24"/>
                <w:szCs w:val="24"/>
              </w:rPr>
              <w:t>ś</w:t>
            </w:r>
            <w:r w:rsidRPr="006D30F2">
              <w:rPr>
                <w:rFonts w:ascii="Times New Roman" w:eastAsia="Calibri" w:hAnsi="Times New Roman" w:cs="Times New Roman"/>
                <w:sz w:val="24"/>
                <w:szCs w:val="24"/>
              </w:rPr>
              <w:t>niu 2022 r., Komitet Steruj</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cy NGR dokona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 xml:space="preserve"> wyboru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nika alternatywnego, maj</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cego zast</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pi</w:t>
            </w:r>
            <w:r w:rsidRPr="006D30F2">
              <w:rPr>
                <w:rFonts w:ascii="Times New Roman" w:eastAsia="Calibri" w:hAnsi="Times New Roman" w:cs="Times New Roman" w:hint="eastAsia"/>
                <w:sz w:val="24"/>
                <w:szCs w:val="24"/>
              </w:rPr>
              <w:t>ć</w:t>
            </w:r>
            <w:r w:rsidRPr="006D30F2">
              <w:rPr>
                <w:rFonts w:ascii="Times New Roman" w:eastAsia="Calibri" w:hAnsi="Times New Roman" w:cs="Times New Roman"/>
                <w:sz w:val="24"/>
                <w:szCs w:val="24"/>
              </w:rPr>
              <w:t xml:space="preserve"> w przysz</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o</w:t>
            </w:r>
            <w:r w:rsidRPr="006D30F2">
              <w:rPr>
                <w:rFonts w:ascii="Times New Roman" w:eastAsia="Calibri" w:hAnsi="Times New Roman" w:cs="Times New Roman" w:hint="eastAsia"/>
                <w:sz w:val="24"/>
                <w:szCs w:val="24"/>
              </w:rPr>
              <w:t>ś</w:t>
            </w:r>
            <w:r w:rsidRPr="006D30F2">
              <w:rPr>
                <w:rFonts w:ascii="Times New Roman" w:eastAsia="Calibri" w:hAnsi="Times New Roman" w:cs="Times New Roman"/>
                <w:sz w:val="24"/>
                <w:szCs w:val="24"/>
              </w:rPr>
              <w:t>ci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niki WIBOR i WIBID. Nowym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nikiem alternatywnym zosta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 xml:space="preserve"> indeks WIRON.</w:t>
            </w:r>
          </w:p>
          <w:p w14:paraId="18E1CC09" w14:textId="77777777" w:rsidR="006D30F2" w:rsidRPr="006D30F2" w:rsidRDefault="006D30F2" w:rsidP="006D30F2">
            <w:pPr>
              <w:spacing w:after="120"/>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W dniu 27 wrze</w:t>
            </w:r>
            <w:r w:rsidRPr="006D30F2">
              <w:rPr>
                <w:rFonts w:ascii="Times New Roman" w:eastAsia="Calibri" w:hAnsi="Times New Roman" w:cs="Times New Roman" w:hint="eastAsia"/>
                <w:sz w:val="24"/>
                <w:szCs w:val="24"/>
              </w:rPr>
              <w:t>ś</w:t>
            </w:r>
            <w:r w:rsidRPr="006D30F2">
              <w:rPr>
                <w:rFonts w:ascii="Times New Roman" w:eastAsia="Calibri" w:hAnsi="Times New Roman" w:cs="Times New Roman"/>
                <w:sz w:val="24"/>
                <w:szCs w:val="24"/>
              </w:rPr>
              <w:t>nia 2022 r. NGR przyj</w:t>
            </w:r>
            <w:r w:rsidRPr="006D30F2">
              <w:rPr>
                <w:rFonts w:ascii="Times New Roman" w:eastAsia="Calibri" w:hAnsi="Times New Roman" w:cs="Times New Roman" w:hint="eastAsia"/>
                <w:sz w:val="24"/>
                <w:szCs w:val="24"/>
              </w:rPr>
              <w:t>ęł</w:t>
            </w:r>
            <w:r w:rsidRPr="006D30F2">
              <w:rPr>
                <w:rFonts w:ascii="Times New Roman" w:eastAsia="Calibri" w:hAnsi="Times New Roman" w:cs="Times New Roman"/>
                <w:sz w:val="24"/>
                <w:szCs w:val="24"/>
              </w:rPr>
              <w:t xml:space="preserve">a </w:t>
            </w:r>
            <w:r w:rsidRPr="006D30F2">
              <w:rPr>
                <w:rFonts w:ascii="Times New Roman" w:eastAsia="Calibri" w:hAnsi="Times New Roman" w:cs="Times New Roman" w:hint="eastAsia"/>
                <w:sz w:val="24"/>
                <w:szCs w:val="24"/>
              </w:rPr>
              <w:t>„</w:t>
            </w:r>
            <w:r w:rsidRPr="006D30F2">
              <w:rPr>
                <w:rFonts w:ascii="Times New Roman" w:eastAsia="Calibri" w:hAnsi="Times New Roman" w:cs="Times New Roman"/>
                <w:sz w:val="24"/>
                <w:szCs w:val="24"/>
              </w:rPr>
              <w:t>Map</w:t>
            </w:r>
            <w:r w:rsidRPr="006D30F2">
              <w:rPr>
                <w:rFonts w:ascii="Times New Roman" w:eastAsia="Calibri" w:hAnsi="Times New Roman" w:cs="Times New Roman" w:hint="eastAsia"/>
                <w:sz w:val="24"/>
                <w:szCs w:val="24"/>
              </w:rPr>
              <w:t>ę</w:t>
            </w:r>
            <w:r w:rsidRPr="006D30F2">
              <w:rPr>
                <w:rFonts w:ascii="Times New Roman" w:eastAsia="Calibri" w:hAnsi="Times New Roman" w:cs="Times New Roman"/>
                <w:sz w:val="24"/>
                <w:szCs w:val="24"/>
              </w:rPr>
              <w:t xml:space="preserve"> Drogow</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 xml:space="preserve"> procesu zast</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pienia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w referencyjnych WIBOR i WIBID przez indeks WIRON</w:t>
            </w:r>
            <w:r w:rsidRPr="006D30F2">
              <w:rPr>
                <w:rFonts w:ascii="Times New Roman" w:eastAsia="Calibri" w:hAnsi="Times New Roman" w:cs="Times New Roman" w:hint="eastAsia"/>
                <w:sz w:val="24"/>
                <w:szCs w:val="24"/>
              </w:rPr>
              <w:t>”</w:t>
            </w:r>
            <w:r w:rsidRPr="006D30F2">
              <w:rPr>
                <w:rFonts w:ascii="Times New Roman" w:eastAsia="Calibri" w:hAnsi="Times New Roman" w:cs="Times New Roman"/>
                <w:sz w:val="24"/>
                <w:szCs w:val="24"/>
              </w:rPr>
              <w:t>.</w:t>
            </w:r>
          </w:p>
          <w:p w14:paraId="295D29A5" w14:textId="77777777" w:rsidR="006D30F2" w:rsidRPr="006D30F2" w:rsidRDefault="006D30F2" w:rsidP="006D30F2">
            <w:pPr>
              <w:spacing w:after="120"/>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W 2024 roku Komitet Sterujący NGR przeprowadził kolejne konsultacje publiczne, w ramach, których ponowiono analizę WIRON i innych wskaźników alternatywnych dla WIBOR. </w:t>
            </w:r>
            <w:r w:rsidRPr="006D30F2">
              <w:rPr>
                <w:rFonts w:ascii="Times New Roman" w:eastAsia="Calibri" w:hAnsi="Times New Roman" w:cs="Times New Roman"/>
                <w:sz w:val="24"/>
                <w:szCs w:val="24"/>
              </w:rPr>
              <w:br/>
              <w:t>W wyniku tych konsultacji, 10 grudnia 2024 roku Komitet Steruj</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 xml:space="preserve">cy NGR ogłosił o wyborze indeksu o technicznej nazwie </w:t>
            </w:r>
            <w:r w:rsidRPr="006D30F2">
              <w:rPr>
                <w:rFonts w:ascii="Times New Roman" w:eastAsia="Calibri" w:hAnsi="Times New Roman" w:cs="Times New Roman" w:hint="eastAsia"/>
                <w:sz w:val="24"/>
                <w:szCs w:val="24"/>
              </w:rPr>
              <w:t>„</w:t>
            </w:r>
            <w:r w:rsidRPr="006D30F2">
              <w:rPr>
                <w:rFonts w:ascii="Times New Roman" w:eastAsia="Calibri" w:hAnsi="Times New Roman" w:cs="Times New Roman"/>
                <w:sz w:val="24"/>
                <w:szCs w:val="24"/>
              </w:rPr>
              <w:t>WIRF- jako docelowego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nika, kt</w:t>
            </w:r>
            <w:r w:rsidRPr="006D30F2">
              <w:rPr>
                <w:rFonts w:ascii="Times New Roman" w:eastAsia="Calibri" w:hAnsi="Times New Roman" w:cs="Times New Roman" w:hint="eastAsia"/>
                <w:sz w:val="24"/>
                <w:szCs w:val="24"/>
              </w:rPr>
              <w:t>ó</w:t>
            </w:r>
            <w:r w:rsidRPr="006D30F2">
              <w:rPr>
                <w:rFonts w:ascii="Times New Roman" w:eastAsia="Calibri" w:hAnsi="Times New Roman" w:cs="Times New Roman"/>
                <w:sz w:val="24"/>
                <w:szCs w:val="24"/>
              </w:rPr>
              <w:t>ry mia</w:t>
            </w:r>
            <w:r w:rsidRPr="006D30F2">
              <w:rPr>
                <w:rFonts w:ascii="Times New Roman" w:eastAsia="Calibri" w:hAnsi="Times New Roman" w:cs="Times New Roman" w:hint="eastAsia"/>
                <w:sz w:val="24"/>
                <w:szCs w:val="24"/>
              </w:rPr>
              <w:t>ł</w:t>
            </w:r>
            <w:r w:rsidRPr="006D30F2">
              <w:rPr>
                <w:rFonts w:ascii="Times New Roman" w:eastAsia="Calibri" w:hAnsi="Times New Roman" w:cs="Times New Roman"/>
                <w:sz w:val="24"/>
                <w:szCs w:val="24"/>
              </w:rPr>
              <w:t>by zast</w:t>
            </w:r>
            <w:r w:rsidRPr="006D30F2">
              <w:rPr>
                <w:rFonts w:ascii="Times New Roman" w:eastAsia="Calibri" w:hAnsi="Times New Roman" w:cs="Times New Roman" w:hint="eastAsia"/>
                <w:sz w:val="24"/>
                <w:szCs w:val="24"/>
              </w:rPr>
              <w:t>ą</w:t>
            </w:r>
            <w:r w:rsidRPr="006D30F2">
              <w:rPr>
                <w:rFonts w:ascii="Times New Roman" w:eastAsia="Calibri" w:hAnsi="Times New Roman" w:cs="Times New Roman"/>
                <w:sz w:val="24"/>
                <w:szCs w:val="24"/>
              </w:rPr>
              <w:t>pi</w:t>
            </w:r>
            <w:r w:rsidRPr="006D30F2">
              <w:rPr>
                <w:rFonts w:ascii="Times New Roman" w:eastAsia="Calibri" w:hAnsi="Times New Roman" w:cs="Times New Roman" w:hint="eastAsia"/>
                <w:sz w:val="24"/>
                <w:szCs w:val="24"/>
              </w:rPr>
              <w:t>ć</w:t>
            </w:r>
            <w:r w:rsidRPr="006D30F2">
              <w:rPr>
                <w:rFonts w:ascii="Times New Roman" w:eastAsia="Calibri" w:hAnsi="Times New Roman" w:cs="Times New Roman"/>
                <w:sz w:val="24"/>
                <w:szCs w:val="24"/>
              </w:rPr>
              <w:t xml:space="preserve">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 xml:space="preserve">nik referencyjny WIBOR. Tym samym KS NGR zweryfikował i zmodyfikował swoją wcześniejszą decyzję o wyborze WIRON (pierwotnie WIRD). Indeks WIRF- 24 stycznia 2025 r. zmienił nazwę na POLSTR i od 1 września 2025 r. zyskał status wskaźnika referencyjnego </w:t>
            </w:r>
            <w:r w:rsidRPr="006D30F2">
              <w:rPr>
                <w:rFonts w:ascii="Times New Roman" w:eastAsia="Calibri" w:hAnsi="Times New Roman" w:cs="Times New Roman"/>
                <w:sz w:val="24"/>
                <w:szCs w:val="24"/>
              </w:rPr>
              <w:lastRenderedPageBreak/>
              <w:t xml:space="preserve">zgodnie z wymogami Rozporządzenia BMR. Wskaźnik ten zgodnie z opublikowaną przez NGR zaktualizowaną Mapą Drogową ma docelowo zamienić wskaźnik WIBOR. </w:t>
            </w:r>
          </w:p>
          <w:p w14:paraId="76137781" w14:textId="77777777" w:rsidR="006D30F2" w:rsidRPr="006D30F2" w:rsidRDefault="006D30F2" w:rsidP="006D30F2">
            <w:pPr>
              <w:spacing w:after="120"/>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Zgodnie z komunikatem NGR z 25 października 2023 roku jako finalny moment konwersji aktualnie stosowanych umów i odejścia od stosowania WIBOR wskazano koniec 2027 roku.</w:t>
            </w:r>
          </w:p>
          <w:p w14:paraId="63DC8486" w14:textId="77777777" w:rsidR="006D30F2" w:rsidRPr="006D30F2" w:rsidRDefault="006D30F2" w:rsidP="006D30F2">
            <w:pPr>
              <w:jc w:val="both"/>
              <w:outlineLvl w:val="1"/>
              <w:rPr>
                <w:rFonts w:ascii="Times New Roman" w:eastAsia="Calibri" w:hAnsi="Times New Roman" w:cs="Times New Roman"/>
                <w:b/>
                <w:sz w:val="24"/>
                <w:szCs w:val="24"/>
              </w:rPr>
            </w:pPr>
          </w:p>
          <w:p w14:paraId="1DD501D7" w14:textId="77777777" w:rsidR="006D30F2" w:rsidRPr="006D30F2" w:rsidRDefault="006D30F2" w:rsidP="006D30F2">
            <w:pPr>
              <w:jc w:val="both"/>
              <w:outlineLvl w:val="1"/>
              <w:rPr>
                <w:rFonts w:ascii="Times New Roman" w:eastAsia="Calibri" w:hAnsi="Times New Roman" w:cs="Times New Roman"/>
                <w:b/>
                <w:sz w:val="24"/>
                <w:szCs w:val="24"/>
              </w:rPr>
            </w:pPr>
            <w:r w:rsidRPr="006D30F2">
              <w:rPr>
                <w:rFonts w:ascii="Times New Roman" w:eastAsia="Calibri" w:hAnsi="Times New Roman" w:cs="Times New Roman"/>
                <w:b/>
                <w:sz w:val="24"/>
                <w:szCs w:val="24"/>
              </w:rPr>
              <w:t>Likwidacja poszczeg</w:t>
            </w:r>
            <w:r w:rsidRPr="006D30F2">
              <w:rPr>
                <w:rFonts w:ascii="Times New Roman" w:eastAsia="Calibri" w:hAnsi="Times New Roman" w:cs="Times New Roman" w:hint="eastAsia"/>
                <w:b/>
                <w:sz w:val="24"/>
                <w:szCs w:val="24"/>
              </w:rPr>
              <w:t>ó</w:t>
            </w:r>
            <w:r w:rsidRPr="006D30F2">
              <w:rPr>
                <w:rFonts w:ascii="Times New Roman" w:eastAsia="Calibri" w:hAnsi="Times New Roman" w:cs="Times New Roman"/>
                <w:b/>
                <w:sz w:val="24"/>
                <w:szCs w:val="24"/>
              </w:rPr>
              <w:t>lnych tenor</w:t>
            </w:r>
            <w:r w:rsidRPr="006D30F2">
              <w:rPr>
                <w:rFonts w:ascii="Times New Roman" w:eastAsia="Calibri" w:hAnsi="Times New Roman" w:cs="Times New Roman" w:hint="eastAsia"/>
                <w:b/>
                <w:sz w:val="24"/>
                <w:szCs w:val="24"/>
              </w:rPr>
              <w:t>ó</w:t>
            </w:r>
            <w:r w:rsidRPr="006D30F2">
              <w:rPr>
                <w:rFonts w:ascii="Times New Roman" w:eastAsia="Calibri" w:hAnsi="Times New Roman" w:cs="Times New Roman"/>
                <w:b/>
                <w:sz w:val="24"/>
                <w:szCs w:val="24"/>
              </w:rPr>
              <w:t>w WIBID/WIBOR</w:t>
            </w:r>
          </w:p>
          <w:p w14:paraId="0FB463EF" w14:textId="77777777" w:rsidR="006D30F2" w:rsidRPr="006D30F2" w:rsidRDefault="006D30F2" w:rsidP="006D30F2">
            <w:pPr>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W dniu 30 września GPW Benchmark SA podjął decyzję o zaprzestanie opracowywania niektórych wskaźników WIBID i WIBOR:</w:t>
            </w:r>
          </w:p>
          <w:p w14:paraId="166A7E9A" w14:textId="77777777" w:rsidR="006D30F2" w:rsidRPr="006D30F2" w:rsidRDefault="006D30F2" w:rsidP="006D30F2">
            <w:pPr>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WIBID i WIBOR ON – od 1 pa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dziernika 2026 r.</w:t>
            </w:r>
          </w:p>
          <w:p w14:paraId="0E8784F5" w14:textId="77777777" w:rsidR="006D30F2" w:rsidRPr="006D30F2" w:rsidRDefault="006D30F2" w:rsidP="006D30F2">
            <w:pPr>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WIBID i WIBOR T/N – od 22 grudnia 2025 r.</w:t>
            </w:r>
          </w:p>
          <w:p w14:paraId="00046886" w14:textId="77777777" w:rsidR="006D30F2" w:rsidRPr="006D30F2" w:rsidRDefault="006D30F2" w:rsidP="006D30F2">
            <w:pPr>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WIBID i WIBOR 2W </w:t>
            </w:r>
            <w:bookmarkStart w:id="1" w:name="_Hlk216269098"/>
            <w:r w:rsidRPr="006D30F2">
              <w:rPr>
                <w:rFonts w:ascii="Times New Roman" w:eastAsia="Calibri" w:hAnsi="Times New Roman" w:cs="Times New Roman"/>
                <w:sz w:val="24"/>
                <w:szCs w:val="24"/>
              </w:rPr>
              <w:t>–</w:t>
            </w:r>
            <w:bookmarkEnd w:id="1"/>
            <w:r w:rsidRPr="006D30F2">
              <w:rPr>
                <w:rFonts w:ascii="Times New Roman" w:eastAsia="Calibri" w:hAnsi="Times New Roman" w:cs="Times New Roman"/>
                <w:sz w:val="24"/>
                <w:szCs w:val="24"/>
              </w:rPr>
              <w:t xml:space="preserve"> od 22 grudnia 2025 r.</w:t>
            </w:r>
          </w:p>
          <w:p w14:paraId="442A9507" w14:textId="77777777" w:rsidR="006D30F2" w:rsidRPr="006D30F2" w:rsidRDefault="006D30F2" w:rsidP="006D30F2">
            <w:pPr>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WIBID 1Y (inaczej 12M) – od 22 grudnia 2025 r.</w:t>
            </w:r>
          </w:p>
          <w:p w14:paraId="30A3F7CD" w14:textId="77777777" w:rsidR="006D30F2" w:rsidRPr="006D30F2" w:rsidRDefault="006D30F2" w:rsidP="006D30F2">
            <w:pPr>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WIBOR 1Y (inaczej 12M) – od 22 grudnia 2026 r.</w:t>
            </w:r>
          </w:p>
          <w:p w14:paraId="1D66350A" w14:textId="77777777" w:rsidR="006D30F2" w:rsidRPr="006D30F2" w:rsidRDefault="006D30F2" w:rsidP="006D30F2">
            <w:pPr>
              <w:spacing w:after="120"/>
              <w:jc w:val="both"/>
              <w:outlineLvl w:val="1"/>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Dodatkowo w okresie od 22 grudnia 2025 r. do 22 grudnia 2026 r. wskaźnik WIBOR 1Y będzie opracowywany na podstawie zmienionej metody algorytmicznej opracowanej przez administratora.  </w:t>
            </w:r>
          </w:p>
          <w:p w14:paraId="750D71A2" w14:textId="77777777" w:rsidR="006D30F2" w:rsidRPr="006D30F2" w:rsidRDefault="006D30F2" w:rsidP="006D30F2">
            <w:pPr>
              <w:tabs>
                <w:tab w:val="left" w:pos="964"/>
                <w:tab w:val="left" w:pos="1304"/>
                <w:tab w:val="left" w:pos="1644"/>
                <w:tab w:val="left" w:pos="1985"/>
                <w:tab w:val="left" w:pos="2325"/>
              </w:tabs>
              <w:jc w:val="both"/>
              <w:rPr>
                <w:rFonts w:cs="Calibri"/>
                <w:lang w:val="en-US"/>
              </w:rPr>
            </w:pPr>
          </w:p>
        </w:tc>
      </w:tr>
      <w:tr w:rsidR="006D30F2" w:rsidRPr="006D30F2" w14:paraId="53FA3140" w14:textId="77777777" w:rsidTr="00FB5D6C">
        <w:tc>
          <w:tcPr>
            <w:tcW w:w="9209" w:type="dxa"/>
          </w:tcPr>
          <w:p w14:paraId="21EDBC8B"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b/>
                <w:bCs/>
                <w:sz w:val="24"/>
                <w:szCs w:val="24"/>
              </w:rPr>
            </w:pPr>
            <w:r w:rsidRPr="006D30F2">
              <w:rPr>
                <w:rFonts w:ascii="Times New Roman" w:eastAsia="Calibri" w:hAnsi="Times New Roman" w:cs="Times New Roman"/>
                <w:b/>
                <w:bCs/>
                <w:sz w:val="24"/>
                <w:szCs w:val="24"/>
              </w:rPr>
              <w:lastRenderedPageBreak/>
              <w:t>Specyficzne ryzyka dot. tego wska</w:t>
            </w:r>
            <w:r w:rsidRPr="006D30F2">
              <w:rPr>
                <w:rFonts w:ascii="Times New Roman" w:eastAsia="Calibri" w:hAnsi="Times New Roman" w:cs="Times New Roman" w:hint="eastAsia"/>
                <w:b/>
                <w:bCs/>
                <w:sz w:val="24"/>
                <w:szCs w:val="24"/>
              </w:rPr>
              <w:t>ź</w:t>
            </w:r>
            <w:r w:rsidRPr="006D30F2">
              <w:rPr>
                <w:rFonts w:ascii="Times New Roman" w:eastAsia="Calibri" w:hAnsi="Times New Roman" w:cs="Times New Roman"/>
                <w:b/>
                <w:bCs/>
                <w:sz w:val="24"/>
                <w:szCs w:val="24"/>
              </w:rPr>
              <w:t>nika obejmuj</w:t>
            </w:r>
            <w:r w:rsidRPr="006D30F2">
              <w:rPr>
                <w:rFonts w:ascii="Times New Roman" w:eastAsia="Calibri" w:hAnsi="Times New Roman" w:cs="Times New Roman" w:hint="eastAsia"/>
                <w:b/>
                <w:bCs/>
                <w:sz w:val="24"/>
                <w:szCs w:val="24"/>
              </w:rPr>
              <w:t>ą</w:t>
            </w:r>
            <w:r w:rsidRPr="006D30F2">
              <w:rPr>
                <w:rFonts w:ascii="Times New Roman" w:eastAsia="Calibri" w:hAnsi="Times New Roman" w:cs="Times New Roman"/>
                <w:b/>
                <w:bCs/>
                <w:sz w:val="24"/>
                <w:szCs w:val="24"/>
              </w:rPr>
              <w:t xml:space="preserve"> w szczeg</w:t>
            </w:r>
            <w:r w:rsidRPr="006D30F2">
              <w:rPr>
                <w:rFonts w:ascii="Times New Roman" w:eastAsia="Calibri" w:hAnsi="Times New Roman" w:cs="Times New Roman" w:hint="eastAsia"/>
                <w:b/>
                <w:bCs/>
                <w:sz w:val="24"/>
                <w:szCs w:val="24"/>
              </w:rPr>
              <w:t>ó</w:t>
            </w:r>
            <w:r w:rsidRPr="006D30F2">
              <w:rPr>
                <w:rFonts w:ascii="Times New Roman" w:eastAsia="Calibri" w:hAnsi="Times New Roman" w:cs="Times New Roman"/>
                <w:b/>
                <w:bCs/>
                <w:sz w:val="24"/>
                <w:szCs w:val="24"/>
              </w:rPr>
              <w:t>lno</w:t>
            </w:r>
            <w:r w:rsidRPr="006D30F2">
              <w:rPr>
                <w:rFonts w:ascii="Times New Roman" w:eastAsia="Calibri" w:hAnsi="Times New Roman" w:cs="Times New Roman" w:hint="eastAsia"/>
                <w:b/>
                <w:bCs/>
                <w:sz w:val="24"/>
                <w:szCs w:val="24"/>
              </w:rPr>
              <w:t>ś</w:t>
            </w:r>
            <w:r w:rsidRPr="006D30F2">
              <w:rPr>
                <w:rFonts w:ascii="Times New Roman" w:eastAsia="Calibri" w:hAnsi="Times New Roman" w:cs="Times New Roman"/>
                <w:b/>
                <w:bCs/>
                <w:sz w:val="24"/>
                <w:szCs w:val="24"/>
              </w:rPr>
              <w:t xml:space="preserve">ci: </w:t>
            </w:r>
          </w:p>
          <w:p w14:paraId="3866E954" w14:textId="77777777" w:rsidR="006D30F2" w:rsidRPr="006D30F2" w:rsidRDefault="006D30F2" w:rsidP="006D30F2">
            <w:pPr>
              <w:numPr>
                <w:ilvl w:val="0"/>
                <w:numId w:val="1"/>
              </w:numPr>
              <w:ind w:left="312" w:hanging="284"/>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ryzyko rezygnacji z dwustronno</w:t>
            </w:r>
            <w:r w:rsidRPr="006D30F2">
              <w:rPr>
                <w:rFonts w:ascii="Times New Roman" w:eastAsia="Calibri" w:hAnsi="Times New Roman" w:cs="Times New Roman" w:hint="eastAsia"/>
                <w:sz w:val="24"/>
                <w:szCs w:val="24"/>
              </w:rPr>
              <w:t>ś</w:t>
            </w:r>
            <w:r w:rsidRPr="006D30F2">
              <w:rPr>
                <w:rFonts w:ascii="Times New Roman" w:eastAsia="Calibri" w:hAnsi="Times New Roman" w:cs="Times New Roman"/>
                <w:sz w:val="24"/>
                <w:szCs w:val="24"/>
              </w:rPr>
              <w:t>ci stawek, tj. zawieszenie publikowania WIBID,</w:t>
            </w:r>
          </w:p>
          <w:p w14:paraId="5F120445" w14:textId="77777777" w:rsidR="006D30F2" w:rsidRPr="006D30F2" w:rsidRDefault="006D30F2" w:rsidP="006D30F2">
            <w:pPr>
              <w:numPr>
                <w:ilvl w:val="0"/>
                <w:numId w:val="1"/>
              </w:numPr>
              <w:ind w:left="312" w:hanging="284"/>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ryzyko istotnej zmiany metody opracowywania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nika referencyjnego,</w:t>
            </w:r>
          </w:p>
          <w:p w14:paraId="513AB337" w14:textId="77777777" w:rsidR="006D30F2" w:rsidRPr="006D30F2" w:rsidRDefault="006D30F2" w:rsidP="006D30F2">
            <w:pPr>
              <w:numPr>
                <w:ilvl w:val="0"/>
                <w:numId w:val="1"/>
              </w:numPr>
              <w:tabs>
                <w:tab w:val="left" w:pos="964"/>
                <w:tab w:val="left" w:pos="1304"/>
                <w:tab w:val="left" w:pos="1644"/>
                <w:tab w:val="left" w:pos="1985"/>
                <w:tab w:val="left" w:pos="2325"/>
              </w:tabs>
              <w:ind w:left="357" w:hanging="357"/>
              <w:contextualSpacing/>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ryzyko zaprzestania opracowywania wska</w:t>
            </w:r>
            <w:r w:rsidRPr="006D30F2">
              <w:rPr>
                <w:rFonts w:ascii="Times New Roman" w:eastAsia="Calibri" w:hAnsi="Times New Roman" w:cs="Times New Roman" w:hint="eastAsia"/>
                <w:sz w:val="24"/>
                <w:szCs w:val="24"/>
              </w:rPr>
              <w:t>ź</w:t>
            </w:r>
            <w:r w:rsidRPr="006D30F2">
              <w:rPr>
                <w:rFonts w:ascii="Times New Roman" w:eastAsia="Calibri" w:hAnsi="Times New Roman" w:cs="Times New Roman"/>
                <w:sz w:val="24"/>
                <w:szCs w:val="24"/>
              </w:rPr>
              <w:t>nika WIBOR/WIBID.</w:t>
            </w:r>
          </w:p>
        </w:tc>
      </w:tr>
      <w:tr w:rsidR="006D30F2" w:rsidRPr="006D30F2" w14:paraId="7BDF1B52" w14:textId="77777777" w:rsidTr="00FB5D6C">
        <w:tc>
          <w:tcPr>
            <w:tcW w:w="9209" w:type="dxa"/>
          </w:tcPr>
          <w:tbl>
            <w:tblPr>
              <w:tblStyle w:val="Tabela-Siatka"/>
              <w:tblW w:w="9063" w:type="dxa"/>
              <w:tblLook w:val="04A0" w:firstRow="1" w:lastRow="0" w:firstColumn="1" w:lastColumn="0" w:noHBand="0" w:noVBand="1"/>
            </w:tblPr>
            <w:tblGrid>
              <w:gridCol w:w="4701"/>
              <w:gridCol w:w="4362"/>
            </w:tblGrid>
            <w:tr w:rsidR="006D30F2" w:rsidRPr="006D30F2" w14:paraId="7E4F8ADB" w14:textId="77777777" w:rsidTr="00FB5D6C">
              <w:tc>
                <w:tcPr>
                  <w:tcW w:w="9063" w:type="dxa"/>
                  <w:gridSpan w:val="2"/>
                </w:tcPr>
                <w:p w14:paraId="40405026" w14:textId="77777777" w:rsidR="006D30F2" w:rsidRPr="006D30F2" w:rsidRDefault="006D30F2" w:rsidP="006D30F2">
                  <w:pPr>
                    <w:tabs>
                      <w:tab w:val="left" w:pos="964"/>
                      <w:tab w:val="left" w:pos="1304"/>
                      <w:tab w:val="left" w:pos="1644"/>
                      <w:tab w:val="left" w:pos="1985"/>
                      <w:tab w:val="left" w:pos="2325"/>
                    </w:tabs>
                    <w:jc w:val="both"/>
                    <w:rPr>
                      <w:rFonts w:cs="Calibri"/>
                      <w:b/>
                    </w:rPr>
                  </w:pPr>
                  <w:r w:rsidRPr="006D30F2">
                    <w:rPr>
                      <w:rFonts w:ascii="Times New Roman" w:eastAsia="Calibri" w:hAnsi="Times New Roman" w:cs="Times New Roman"/>
                      <w:b/>
                      <w:sz w:val="24"/>
                      <w:szCs w:val="24"/>
                    </w:rPr>
                    <w:t>Kody ISIN WIBOR</w:t>
                  </w:r>
                </w:p>
              </w:tc>
            </w:tr>
            <w:tr w:rsidR="006D30F2" w:rsidRPr="006D30F2" w14:paraId="2192C026" w14:textId="77777777" w:rsidTr="00FB5D6C">
              <w:tc>
                <w:tcPr>
                  <w:tcW w:w="4701" w:type="dxa"/>
                </w:tcPr>
                <w:p w14:paraId="4C8EF795"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WIBOR 1M</w:t>
                  </w:r>
                </w:p>
              </w:tc>
              <w:tc>
                <w:tcPr>
                  <w:tcW w:w="4362" w:type="dxa"/>
                </w:tcPr>
                <w:p w14:paraId="23BCEB11"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PL9999999557</w:t>
                  </w:r>
                </w:p>
              </w:tc>
            </w:tr>
            <w:tr w:rsidR="006D30F2" w:rsidRPr="006D30F2" w14:paraId="63E1D77F" w14:textId="77777777" w:rsidTr="00FB5D6C">
              <w:tc>
                <w:tcPr>
                  <w:tcW w:w="4701" w:type="dxa"/>
                </w:tcPr>
                <w:p w14:paraId="15E22489"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WIBOR 1Y</w:t>
                  </w:r>
                </w:p>
              </w:tc>
              <w:tc>
                <w:tcPr>
                  <w:tcW w:w="4362" w:type="dxa"/>
                </w:tcPr>
                <w:p w14:paraId="1FA04E20"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PL9999999177</w:t>
                  </w:r>
                </w:p>
              </w:tc>
            </w:tr>
            <w:tr w:rsidR="006D30F2" w:rsidRPr="006D30F2" w14:paraId="7E0ABB98" w14:textId="77777777" w:rsidTr="00FB5D6C">
              <w:tc>
                <w:tcPr>
                  <w:tcW w:w="4701" w:type="dxa"/>
                </w:tcPr>
                <w:p w14:paraId="6A1513FA"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WIBOR 1W</w:t>
                  </w:r>
                </w:p>
              </w:tc>
              <w:tc>
                <w:tcPr>
                  <w:tcW w:w="4362" w:type="dxa"/>
                </w:tcPr>
                <w:p w14:paraId="45AC4CCA"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PL9999999201</w:t>
                  </w:r>
                </w:p>
              </w:tc>
            </w:tr>
            <w:tr w:rsidR="006D30F2" w:rsidRPr="006D30F2" w14:paraId="3B22DCAC" w14:textId="77777777" w:rsidTr="00FB5D6C">
              <w:tc>
                <w:tcPr>
                  <w:tcW w:w="4701" w:type="dxa"/>
                </w:tcPr>
                <w:p w14:paraId="7CCBAABB"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WIBOR 3M</w:t>
                  </w:r>
                </w:p>
              </w:tc>
              <w:tc>
                <w:tcPr>
                  <w:tcW w:w="4362" w:type="dxa"/>
                </w:tcPr>
                <w:p w14:paraId="2C61B328"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PL9999999748</w:t>
                  </w:r>
                </w:p>
              </w:tc>
            </w:tr>
            <w:tr w:rsidR="006D30F2" w:rsidRPr="006D30F2" w14:paraId="54EF8928" w14:textId="77777777" w:rsidTr="00FB5D6C">
              <w:tc>
                <w:tcPr>
                  <w:tcW w:w="4701" w:type="dxa"/>
                </w:tcPr>
                <w:p w14:paraId="437895D7"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WIBOR 6M</w:t>
                  </w:r>
                </w:p>
              </w:tc>
              <w:tc>
                <w:tcPr>
                  <w:tcW w:w="4362" w:type="dxa"/>
                </w:tcPr>
                <w:p w14:paraId="04192D67" w14:textId="77777777" w:rsidR="006D30F2" w:rsidRPr="006D30F2" w:rsidRDefault="006D30F2" w:rsidP="006D30F2">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PL9999999615</w:t>
                  </w:r>
                </w:p>
              </w:tc>
            </w:tr>
          </w:tbl>
          <w:p w14:paraId="046D9AFA" w14:textId="77777777" w:rsidR="006D30F2" w:rsidRPr="006D30F2" w:rsidRDefault="006D30F2" w:rsidP="006D30F2">
            <w:pPr>
              <w:tabs>
                <w:tab w:val="left" w:pos="964"/>
                <w:tab w:val="left" w:pos="1304"/>
                <w:tab w:val="left" w:pos="1644"/>
                <w:tab w:val="left" w:pos="1985"/>
                <w:tab w:val="left" w:pos="2325"/>
              </w:tabs>
              <w:jc w:val="both"/>
              <w:rPr>
                <w:rFonts w:cs="Calibri"/>
                <w:lang w:val="en-US"/>
              </w:rPr>
            </w:pPr>
          </w:p>
        </w:tc>
      </w:tr>
      <w:tr w:rsidR="006D30F2" w:rsidRPr="006D30F2" w14:paraId="4173E1C9" w14:textId="77777777" w:rsidTr="00FB5D6C">
        <w:tc>
          <w:tcPr>
            <w:tcW w:w="9209" w:type="dxa"/>
          </w:tcPr>
          <w:p w14:paraId="392802F7" w14:textId="77777777" w:rsidR="006D30F2" w:rsidRPr="006D30F2" w:rsidRDefault="006D30F2" w:rsidP="006D30F2">
            <w:pPr>
              <w:tabs>
                <w:tab w:val="left" w:pos="964"/>
                <w:tab w:val="left" w:pos="1304"/>
                <w:tab w:val="left" w:pos="1644"/>
                <w:tab w:val="left" w:pos="1985"/>
                <w:tab w:val="left" w:pos="2325"/>
              </w:tabs>
              <w:spacing w:line="360" w:lineRule="auto"/>
              <w:jc w:val="both"/>
              <w:rPr>
                <w:rFonts w:ascii="Times New Roman" w:eastAsia="Calibri" w:hAnsi="Times New Roman" w:cs="Times New Roman"/>
                <w:b/>
                <w:sz w:val="24"/>
                <w:szCs w:val="24"/>
              </w:rPr>
            </w:pPr>
            <w:r w:rsidRPr="006D30F2">
              <w:rPr>
                <w:rFonts w:ascii="Times New Roman" w:hAnsi="Times New Roman" w:cs="Times New Roman"/>
                <w:b/>
                <w:sz w:val="24"/>
                <w:szCs w:val="24"/>
              </w:rPr>
              <w:t>Nazwa oraz dane adresowe administratora WIBOR</w:t>
            </w:r>
          </w:p>
          <w:p w14:paraId="4F06800B"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Administratorem WIBOR jest GPW Benchmark S.A.</w:t>
            </w:r>
          </w:p>
          <w:p w14:paraId="476AF652"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ul. Książęca 4, 00-498 Warszawa</w:t>
            </w:r>
          </w:p>
          <w:p w14:paraId="6D7876D6" w14:textId="77777777" w:rsidR="006D30F2" w:rsidRPr="006D30F2" w:rsidRDefault="006D30F2" w:rsidP="006D30F2">
            <w:pPr>
              <w:tabs>
                <w:tab w:val="left" w:pos="964"/>
                <w:tab w:val="left" w:pos="1304"/>
                <w:tab w:val="left" w:pos="1644"/>
                <w:tab w:val="left" w:pos="1985"/>
                <w:tab w:val="left" w:pos="2325"/>
              </w:tabs>
              <w:jc w:val="both"/>
              <w:rPr>
                <w:rFonts w:cs="Calibri"/>
                <w:lang w:val="en-US"/>
              </w:rPr>
            </w:pPr>
            <w:r w:rsidRPr="006D30F2">
              <w:rPr>
                <w:rFonts w:ascii="Times New Roman" w:hAnsi="Times New Roman" w:cs="Times New Roman"/>
                <w:sz w:val="24"/>
                <w:szCs w:val="24"/>
                <w:lang w:eastAsia="pl-PL"/>
              </w:rPr>
              <w:t>Tel. 22 628 32 32, Email</w:t>
            </w:r>
            <w:r w:rsidRPr="006D30F2">
              <w:rPr>
                <w:rFonts w:cs="Calibri"/>
                <w:lang w:val="en-US"/>
              </w:rPr>
              <w:t xml:space="preserve">: </w:t>
            </w:r>
            <w:hyperlink r:id="rId8" w:history="1">
              <w:r w:rsidRPr="006D30F2">
                <w:rPr>
                  <w:rFonts w:cs="Calibri"/>
                  <w:color w:val="0563C1" w:themeColor="hyperlink"/>
                  <w:u w:val="single"/>
                  <w:lang w:val="en-US"/>
                </w:rPr>
                <w:t>kontakt@gpwbenchmark.pl</w:t>
              </w:r>
            </w:hyperlink>
          </w:p>
        </w:tc>
      </w:tr>
    </w:tbl>
    <w:p w14:paraId="15A9A12E"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Montserrat" w:hAnsi="Montserrat" w:cs="Calibri"/>
          <w:sz w:val="20"/>
          <w:szCs w:val="20"/>
          <w:lang w:val="en-US"/>
        </w:rPr>
      </w:pPr>
    </w:p>
    <w:p w14:paraId="27992E4A"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Montserrat" w:hAnsi="Montserrat" w:cs="Calibri"/>
          <w:sz w:val="20"/>
          <w:szCs w:val="20"/>
          <w:lang w:val="en-US"/>
        </w:rPr>
      </w:pPr>
    </w:p>
    <w:tbl>
      <w:tblPr>
        <w:tblStyle w:val="Tabela-Siatka"/>
        <w:tblW w:w="9073" w:type="dxa"/>
        <w:tblInd w:w="-147" w:type="dxa"/>
        <w:tblLook w:val="04A0" w:firstRow="1" w:lastRow="0" w:firstColumn="1" w:lastColumn="0" w:noHBand="0" w:noVBand="1"/>
      </w:tblPr>
      <w:tblGrid>
        <w:gridCol w:w="9209"/>
      </w:tblGrid>
      <w:tr w:rsidR="006D30F2" w:rsidRPr="006D30F2" w14:paraId="7E9F30EE" w14:textId="77777777" w:rsidTr="00FB5D6C">
        <w:tc>
          <w:tcPr>
            <w:tcW w:w="9073" w:type="dxa"/>
          </w:tcPr>
          <w:p w14:paraId="3A9198C9" w14:textId="77777777" w:rsidR="006D30F2" w:rsidRPr="006D30F2" w:rsidRDefault="006D30F2" w:rsidP="006D30F2">
            <w:pPr>
              <w:tabs>
                <w:tab w:val="left" w:pos="964"/>
                <w:tab w:val="left" w:pos="1304"/>
                <w:tab w:val="left" w:pos="1644"/>
                <w:tab w:val="left" w:pos="1985"/>
                <w:tab w:val="left" w:pos="2325"/>
              </w:tabs>
              <w:jc w:val="center"/>
              <w:rPr>
                <w:rFonts w:cs="Calibri"/>
                <w:lang w:val="en-US"/>
              </w:rPr>
            </w:pPr>
            <w:r w:rsidRPr="006D30F2">
              <w:rPr>
                <w:rFonts w:ascii="Times New Roman" w:eastAsia="Calibri" w:hAnsi="Times New Roman" w:cs="Times New Roman"/>
                <w:b/>
                <w:sz w:val="24"/>
                <w:szCs w:val="24"/>
              </w:rPr>
              <w:t>Informacje o wska</w:t>
            </w:r>
            <w:r w:rsidRPr="006D30F2">
              <w:rPr>
                <w:rFonts w:ascii="Times New Roman" w:eastAsia="Calibri" w:hAnsi="Times New Roman" w:cs="Times New Roman" w:hint="eastAsia"/>
                <w:b/>
                <w:sz w:val="24"/>
                <w:szCs w:val="24"/>
              </w:rPr>
              <w:t>ź</w:t>
            </w:r>
            <w:r w:rsidRPr="006D30F2">
              <w:rPr>
                <w:rFonts w:ascii="Times New Roman" w:eastAsia="Calibri" w:hAnsi="Times New Roman" w:cs="Times New Roman"/>
                <w:b/>
                <w:sz w:val="24"/>
                <w:szCs w:val="24"/>
              </w:rPr>
              <w:t>nikach WIRON i WIRON Stopa Sk</w:t>
            </w:r>
            <w:r w:rsidRPr="006D30F2">
              <w:rPr>
                <w:rFonts w:ascii="Times New Roman" w:eastAsia="Calibri" w:hAnsi="Times New Roman" w:cs="Times New Roman" w:hint="eastAsia"/>
                <w:b/>
                <w:sz w:val="24"/>
                <w:szCs w:val="24"/>
              </w:rPr>
              <w:t>ł</w:t>
            </w:r>
            <w:r w:rsidRPr="006D30F2">
              <w:rPr>
                <w:rFonts w:ascii="Times New Roman" w:eastAsia="Calibri" w:hAnsi="Times New Roman" w:cs="Times New Roman"/>
                <w:b/>
                <w:sz w:val="24"/>
                <w:szCs w:val="24"/>
              </w:rPr>
              <w:t>adana</w:t>
            </w:r>
          </w:p>
        </w:tc>
      </w:tr>
      <w:tr w:rsidR="006D30F2" w:rsidRPr="006D30F2" w14:paraId="2121A3B1" w14:textId="77777777" w:rsidTr="00FB5D6C">
        <w:tc>
          <w:tcPr>
            <w:tcW w:w="9073" w:type="dxa"/>
          </w:tcPr>
          <w:p w14:paraId="3C251977" w14:textId="77777777" w:rsidR="006D30F2" w:rsidRPr="006D30F2" w:rsidRDefault="006D30F2" w:rsidP="006D30F2">
            <w:pPr>
              <w:spacing w:after="120"/>
              <w:jc w:val="both"/>
              <w:rPr>
                <w:rFonts w:ascii="Times New Roman" w:hAnsi="Times New Roman" w:cs="Times New Roman"/>
                <w:sz w:val="24"/>
                <w:szCs w:val="24"/>
              </w:rPr>
            </w:pPr>
            <w:r w:rsidRPr="006D30F2">
              <w:rPr>
                <w:rFonts w:ascii="Times New Roman" w:hAnsi="Times New Roman" w:cs="Times New Roman"/>
                <w:sz w:val="24"/>
                <w:szCs w:val="24"/>
              </w:rPr>
              <w:t>WIRON opracowywany jest wed</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ug metod samodzielnie okre</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lonych przez GPW Benchmark S.A. pod nadzorem Komisji Nadzoru Finansowego, na podstawie Regulaminu Indeksu Stopy Procentowej WIRON, przyj</w:t>
            </w:r>
            <w:r w:rsidRPr="006D30F2">
              <w:rPr>
                <w:rFonts w:ascii="Times New Roman" w:hAnsi="Times New Roman" w:cs="Times New Roman" w:hint="eastAsia"/>
                <w:sz w:val="24"/>
                <w:szCs w:val="24"/>
              </w:rPr>
              <w:t>ę</w:t>
            </w:r>
            <w:r w:rsidRPr="006D30F2">
              <w:rPr>
                <w:rFonts w:ascii="Times New Roman" w:hAnsi="Times New Roman" w:cs="Times New Roman"/>
                <w:sz w:val="24"/>
                <w:szCs w:val="24"/>
              </w:rPr>
              <w:t xml:space="preserve">tego </w:t>
            </w:r>
            <w:r w:rsidRPr="006D30F2">
              <w:rPr>
                <w:rFonts w:ascii="Times New Roman" w:hAnsi="Times New Roman" w:cs="Times New Roman"/>
                <w:i/>
                <w:sz w:val="24"/>
                <w:szCs w:val="24"/>
              </w:rPr>
              <w:t>Uchwa</w:t>
            </w:r>
            <w:r w:rsidRPr="006D30F2">
              <w:rPr>
                <w:rFonts w:ascii="Times New Roman" w:hAnsi="Times New Roman" w:cs="Times New Roman" w:hint="eastAsia"/>
                <w:i/>
                <w:sz w:val="24"/>
                <w:szCs w:val="24"/>
              </w:rPr>
              <w:t>łą</w:t>
            </w:r>
            <w:r w:rsidRPr="006D30F2">
              <w:rPr>
                <w:rFonts w:ascii="Times New Roman" w:hAnsi="Times New Roman" w:cs="Times New Roman"/>
                <w:i/>
                <w:sz w:val="24"/>
                <w:szCs w:val="24"/>
              </w:rPr>
              <w:t xml:space="preserve"> Zarz</w:t>
            </w:r>
            <w:r w:rsidRPr="006D30F2">
              <w:rPr>
                <w:rFonts w:ascii="Times New Roman" w:hAnsi="Times New Roman" w:cs="Times New Roman" w:hint="eastAsia"/>
                <w:i/>
                <w:sz w:val="24"/>
                <w:szCs w:val="24"/>
              </w:rPr>
              <w:t>ą</w:t>
            </w:r>
            <w:r w:rsidRPr="006D30F2">
              <w:rPr>
                <w:rFonts w:ascii="Times New Roman" w:hAnsi="Times New Roman" w:cs="Times New Roman"/>
                <w:i/>
                <w:sz w:val="24"/>
                <w:szCs w:val="24"/>
              </w:rPr>
              <w:t>du GPW Benchmark nr 85/2022 z dnia 30 listopada 2022</w:t>
            </w:r>
            <w:r w:rsidRPr="006D30F2">
              <w:rPr>
                <w:rFonts w:ascii="Times New Roman" w:hAnsi="Times New Roman" w:cs="Times New Roman"/>
                <w:sz w:val="24"/>
                <w:szCs w:val="24"/>
              </w:rPr>
              <w:t xml:space="preserve"> (z p</w:t>
            </w:r>
            <w:r w:rsidRPr="006D30F2">
              <w:rPr>
                <w:rFonts w:ascii="Times New Roman" w:hAnsi="Times New Roman" w:cs="Times New Roman" w:hint="eastAsia"/>
                <w:sz w:val="24"/>
                <w:szCs w:val="24"/>
              </w:rPr>
              <w:t>óź</w:t>
            </w:r>
            <w:r w:rsidRPr="006D30F2">
              <w:rPr>
                <w:rFonts w:ascii="Times New Roman" w:hAnsi="Times New Roman" w:cs="Times New Roman"/>
                <w:sz w:val="24"/>
                <w:szCs w:val="24"/>
              </w:rPr>
              <w:t>niejszymi zmianami). Podstawowe informacje na temat WIRON zosta</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y okre</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 xml:space="preserve">lone przez Administratora w dokumencie: </w:t>
            </w:r>
            <w:r w:rsidRPr="006D30F2">
              <w:rPr>
                <w:rFonts w:ascii="Times New Roman" w:hAnsi="Times New Roman" w:cs="Times New Roman" w:hint="eastAsia"/>
                <w:sz w:val="24"/>
                <w:szCs w:val="24"/>
              </w:rPr>
              <w:t>„</w:t>
            </w:r>
            <w:r w:rsidRPr="006D30F2">
              <w:rPr>
                <w:rFonts w:ascii="Times New Roman" w:hAnsi="Times New Roman" w:cs="Times New Roman"/>
                <w:i/>
                <w:sz w:val="24"/>
                <w:szCs w:val="24"/>
              </w:rPr>
              <w:t>O</w:t>
            </w:r>
            <w:r w:rsidRPr="006D30F2">
              <w:rPr>
                <w:rFonts w:ascii="Times New Roman" w:hAnsi="Times New Roman" w:cs="Times New Roman" w:hint="eastAsia"/>
                <w:i/>
                <w:sz w:val="24"/>
                <w:szCs w:val="24"/>
              </w:rPr>
              <w:t>ś</w:t>
            </w:r>
            <w:r w:rsidRPr="006D30F2">
              <w:rPr>
                <w:rFonts w:ascii="Times New Roman" w:hAnsi="Times New Roman" w:cs="Times New Roman"/>
                <w:i/>
                <w:sz w:val="24"/>
                <w:szCs w:val="24"/>
              </w:rPr>
              <w:t>wiadczenie Administratora Indeksu Stopy Procentowej WIRON (benchmark statement)”</w:t>
            </w:r>
            <w:r w:rsidRPr="006D30F2">
              <w:rPr>
                <w:rFonts w:ascii="Times New Roman" w:hAnsi="Times New Roman" w:cs="Times New Roman"/>
                <w:sz w:val="24"/>
                <w:szCs w:val="24"/>
              </w:rPr>
              <w:t>.</w:t>
            </w:r>
          </w:p>
          <w:p w14:paraId="764EBF92" w14:textId="77777777" w:rsidR="006D30F2" w:rsidRPr="006D30F2" w:rsidRDefault="006D30F2" w:rsidP="006D30F2">
            <w:pPr>
              <w:spacing w:after="120"/>
              <w:jc w:val="both"/>
              <w:rPr>
                <w:rFonts w:ascii="Times New Roman" w:hAnsi="Times New Roman" w:cs="Times New Roman"/>
                <w:sz w:val="24"/>
                <w:szCs w:val="24"/>
              </w:rPr>
            </w:pPr>
            <w:r w:rsidRPr="006D30F2">
              <w:rPr>
                <w:rFonts w:ascii="Times New Roman" w:hAnsi="Times New Roman" w:cs="Times New Roman"/>
                <w:sz w:val="24"/>
                <w:szCs w:val="24"/>
                <w:lang w:eastAsia="pl-PL"/>
              </w:rPr>
              <w:t>WIRON Stopa Sk</w:t>
            </w:r>
            <w:r w:rsidRPr="006D30F2">
              <w:rPr>
                <w:rFonts w:ascii="Times New Roman" w:hAnsi="Times New Roman" w:cs="Times New Roman" w:hint="eastAsia"/>
                <w:sz w:val="24"/>
                <w:szCs w:val="24"/>
                <w:lang w:eastAsia="pl-PL"/>
              </w:rPr>
              <w:t>ł</w:t>
            </w:r>
            <w:r w:rsidRPr="006D30F2">
              <w:rPr>
                <w:rFonts w:ascii="Times New Roman" w:hAnsi="Times New Roman" w:cs="Times New Roman"/>
                <w:sz w:val="24"/>
                <w:szCs w:val="24"/>
                <w:lang w:eastAsia="pl-PL"/>
              </w:rPr>
              <w:t>adana opracowywany jest</w:t>
            </w:r>
            <w:r w:rsidRPr="006D30F2">
              <w:rPr>
                <w:rFonts w:ascii="Times New Roman" w:hAnsi="Times New Roman" w:cs="Times New Roman"/>
                <w:sz w:val="24"/>
                <w:szCs w:val="24"/>
              </w:rPr>
              <w:t xml:space="preserve"> wed</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ug metod samodzielnie okre</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lonych przez GPW Benchmark S.A. pod</w:t>
            </w:r>
            <w:r w:rsidRPr="006D30F2">
              <w:rPr>
                <w:rFonts w:ascii="Times New Roman" w:hAnsi="Times New Roman" w:cs="Times New Roman" w:hint="eastAsia"/>
                <w:sz w:val="24"/>
                <w:szCs w:val="24"/>
              </w:rPr>
              <w:t> </w:t>
            </w:r>
            <w:r w:rsidRPr="006D30F2">
              <w:rPr>
                <w:rFonts w:ascii="Times New Roman" w:hAnsi="Times New Roman" w:cs="Times New Roman"/>
                <w:sz w:val="24"/>
                <w:szCs w:val="24"/>
              </w:rPr>
              <w:t xml:space="preserve">nadzorem Komisji Nadzoru Finansowego, na podstawie </w:t>
            </w:r>
            <w:r w:rsidRPr="006D30F2">
              <w:rPr>
                <w:rFonts w:ascii="Times New Roman" w:hAnsi="Times New Roman" w:cs="Times New Roman"/>
                <w:i/>
                <w:sz w:val="24"/>
                <w:szCs w:val="24"/>
              </w:rPr>
              <w:t>Regulaminu Rodziny Indeks</w:t>
            </w:r>
            <w:r w:rsidRPr="006D30F2">
              <w:rPr>
                <w:rFonts w:ascii="Times New Roman" w:hAnsi="Times New Roman" w:cs="Times New Roman" w:hint="eastAsia"/>
                <w:i/>
                <w:sz w:val="24"/>
                <w:szCs w:val="24"/>
              </w:rPr>
              <w:t>ó</w:t>
            </w:r>
            <w:r w:rsidRPr="006D30F2">
              <w:rPr>
                <w:rFonts w:ascii="Times New Roman" w:hAnsi="Times New Roman" w:cs="Times New Roman"/>
                <w:i/>
                <w:sz w:val="24"/>
                <w:szCs w:val="24"/>
              </w:rPr>
              <w:t>w Sk</w:t>
            </w:r>
            <w:r w:rsidRPr="006D30F2">
              <w:rPr>
                <w:rFonts w:ascii="Times New Roman" w:hAnsi="Times New Roman" w:cs="Times New Roman" w:hint="eastAsia"/>
                <w:i/>
                <w:sz w:val="24"/>
                <w:szCs w:val="24"/>
              </w:rPr>
              <w:t>ł</w:t>
            </w:r>
            <w:r w:rsidRPr="006D30F2">
              <w:rPr>
                <w:rFonts w:ascii="Times New Roman" w:hAnsi="Times New Roman" w:cs="Times New Roman"/>
                <w:i/>
                <w:sz w:val="24"/>
                <w:szCs w:val="24"/>
              </w:rPr>
              <w:t>adanych WIRON, przyj</w:t>
            </w:r>
            <w:r w:rsidRPr="006D30F2">
              <w:rPr>
                <w:rFonts w:ascii="Times New Roman" w:hAnsi="Times New Roman" w:cs="Times New Roman" w:hint="eastAsia"/>
                <w:i/>
                <w:sz w:val="24"/>
                <w:szCs w:val="24"/>
              </w:rPr>
              <w:t>ę</w:t>
            </w:r>
            <w:r w:rsidRPr="006D30F2">
              <w:rPr>
                <w:rFonts w:ascii="Times New Roman" w:hAnsi="Times New Roman" w:cs="Times New Roman"/>
                <w:i/>
                <w:sz w:val="24"/>
                <w:szCs w:val="24"/>
              </w:rPr>
              <w:t>tego Uchwa</w:t>
            </w:r>
            <w:r w:rsidRPr="006D30F2">
              <w:rPr>
                <w:rFonts w:ascii="Times New Roman" w:hAnsi="Times New Roman" w:cs="Times New Roman" w:hint="eastAsia"/>
                <w:i/>
                <w:sz w:val="24"/>
                <w:szCs w:val="24"/>
              </w:rPr>
              <w:t>łą</w:t>
            </w:r>
            <w:r w:rsidRPr="006D30F2">
              <w:rPr>
                <w:rFonts w:ascii="Times New Roman" w:hAnsi="Times New Roman" w:cs="Times New Roman"/>
                <w:i/>
                <w:sz w:val="24"/>
                <w:szCs w:val="24"/>
              </w:rPr>
              <w:t xml:space="preserve"> Zarz</w:t>
            </w:r>
            <w:r w:rsidRPr="006D30F2">
              <w:rPr>
                <w:rFonts w:ascii="Times New Roman" w:hAnsi="Times New Roman" w:cs="Times New Roman" w:hint="eastAsia"/>
                <w:i/>
                <w:sz w:val="24"/>
                <w:szCs w:val="24"/>
              </w:rPr>
              <w:t>ą</w:t>
            </w:r>
            <w:r w:rsidRPr="006D30F2">
              <w:rPr>
                <w:rFonts w:ascii="Times New Roman" w:hAnsi="Times New Roman" w:cs="Times New Roman"/>
                <w:i/>
                <w:sz w:val="24"/>
                <w:szCs w:val="24"/>
              </w:rPr>
              <w:t>du GPW Benchmark nr 86/2022 z dnia 30 listopada 2022 (z p</w:t>
            </w:r>
            <w:r w:rsidRPr="006D30F2">
              <w:rPr>
                <w:rFonts w:ascii="Times New Roman" w:hAnsi="Times New Roman" w:cs="Times New Roman" w:hint="eastAsia"/>
                <w:i/>
                <w:sz w:val="24"/>
                <w:szCs w:val="24"/>
              </w:rPr>
              <w:t>óź</w:t>
            </w:r>
            <w:r w:rsidRPr="006D30F2">
              <w:rPr>
                <w:rFonts w:ascii="Times New Roman" w:hAnsi="Times New Roman" w:cs="Times New Roman"/>
                <w:i/>
                <w:sz w:val="24"/>
                <w:szCs w:val="24"/>
              </w:rPr>
              <w:t>niejszymi zmianami)</w:t>
            </w:r>
            <w:r w:rsidRPr="006D30F2">
              <w:rPr>
                <w:rFonts w:ascii="Times New Roman" w:hAnsi="Times New Roman" w:cs="Times New Roman"/>
                <w:sz w:val="24"/>
                <w:szCs w:val="24"/>
              </w:rPr>
              <w:t>. Podstawowe informacje na temat WIRON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 zosta</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y okre</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 xml:space="preserve">lone przez Administratora </w:t>
            </w:r>
            <w:r w:rsidRPr="006D30F2">
              <w:rPr>
                <w:rFonts w:ascii="Times New Roman" w:hAnsi="Times New Roman" w:cs="Times New Roman"/>
                <w:sz w:val="24"/>
                <w:szCs w:val="24"/>
              </w:rPr>
              <w:br/>
              <w:t xml:space="preserve">w dokumencie: </w:t>
            </w:r>
            <w:r w:rsidRPr="006D30F2">
              <w:rPr>
                <w:rFonts w:ascii="Times New Roman" w:hAnsi="Times New Roman" w:cs="Times New Roman" w:hint="eastAsia"/>
                <w:sz w:val="24"/>
                <w:szCs w:val="24"/>
              </w:rPr>
              <w:t>„</w:t>
            </w:r>
            <w:r w:rsidRPr="006D30F2">
              <w:rPr>
                <w:rFonts w:ascii="Times New Roman" w:hAnsi="Times New Roman" w:cs="Times New Roman"/>
                <w:i/>
                <w:sz w:val="24"/>
                <w:szCs w:val="24"/>
              </w:rPr>
              <w:t>O</w:t>
            </w:r>
            <w:r w:rsidRPr="006D30F2">
              <w:rPr>
                <w:rFonts w:ascii="Times New Roman" w:hAnsi="Times New Roman" w:cs="Times New Roman" w:hint="eastAsia"/>
                <w:i/>
                <w:sz w:val="24"/>
                <w:szCs w:val="24"/>
              </w:rPr>
              <w:t>ś</w:t>
            </w:r>
            <w:r w:rsidRPr="006D30F2">
              <w:rPr>
                <w:rFonts w:ascii="Times New Roman" w:hAnsi="Times New Roman" w:cs="Times New Roman"/>
                <w:i/>
                <w:sz w:val="24"/>
                <w:szCs w:val="24"/>
              </w:rPr>
              <w:t>wiadczenie Administratora Rodziny Indeks</w:t>
            </w:r>
            <w:r w:rsidRPr="006D30F2">
              <w:rPr>
                <w:rFonts w:ascii="Times New Roman" w:hAnsi="Times New Roman" w:cs="Times New Roman" w:hint="eastAsia"/>
                <w:i/>
                <w:sz w:val="24"/>
                <w:szCs w:val="24"/>
              </w:rPr>
              <w:t>ó</w:t>
            </w:r>
            <w:r w:rsidRPr="006D30F2">
              <w:rPr>
                <w:rFonts w:ascii="Times New Roman" w:hAnsi="Times New Roman" w:cs="Times New Roman"/>
                <w:i/>
                <w:sz w:val="24"/>
                <w:szCs w:val="24"/>
              </w:rPr>
              <w:t>w Sk</w:t>
            </w:r>
            <w:r w:rsidRPr="006D30F2">
              <w:rPr>
                <w:rFonts w:ascii="Times New Roman" w:hAnsi="Times New Roman" w:cs="Times New Roman" w:hint="eastAsia"/>
                <w:i/>
                <w:sz w:val="24"/>
                <w:szCs w:val="24"/>
              </w:rPr>
              <w:t>ł</w:t>
            </w:r>
            <w:r w:rsidRPr="006D30F2">
              <w:rPr>
                <w:rFonts w:ascii="Times New Roman" w:hAnsi="Times New Roman" w:cs="Times New Roman"/>
                <w:i/>
                <w:sz w:val="24"/>
                <w:szCs w:val="24"/>
              </w:rPr>
              <w:t>adanych WIRON (benchmark statement)”</w:t>
            </w:r>
            <w:r w:rsidRPr="006D30F2">
              <w:rPr>
                <w:rFonts w:ascii="Times New Roman" w:hAnsi="Times New Roman" w:cs="Times New Roman"/>
                <w:sz w:val="24"/>
                <w:szCs w:val="24"/>
              </w:rPr>
              <w:t xml:space="preserve">. </w:t>
            </w:r>
          </w:p>
          <w:p w14:paraId="46183FF8" w14:textId="77777777" w:rsidR="006D30F2" w:rsidRPr="006D30F2" w:rsidRDefault="006D30F2" w:rsidP="006D30F2">
            <w:pPr>
              <w:spacing w:after="120"/>
              <w:jc w:val="both"/>
              <w:rPr>
                <w:rFonts w:ascii="Times New Roman" w:hAnsi="Times New Roman" w:cs="Times New Roman"/>
                <w:sz w:val="24"/>
                <w:szCs w:val="24"/>
              </w:rPr>
            </w:pPr>
            <w:r w:rsidRPr="006D30F2">
              <w:rPr>
                <w:rFonts w:ascii="Times New Roman" w:hAnsi="Times New Roman" w:cs="Times New Roman"/>
                <w:sz w:val="24"/>
                <w:szCs w:val="24"/>
              </w:rPr>
              <w:lastRenderedPageBreak/>
              <w:t>Szczeg</w:t>
            </w:r>
            <w:r w:rsidRPr="006D30F2">
              <w:rPr>
                <w:rFonts w:ascii="Times New Roman" w:hAnsi="Times New Roman" w:cs="Times New Roman" w:hint="eastAsia"/>
                <w:sz w:val="24"/>
                <w:szCs w:val="24"/>
              </w:rPr>
              <w:t>ół</w:t>
            </w:r>
            <w:r w:rsidRPr="006D30F2">
              <w:rPr>
                <w:rFonts w:ascii="Times New Roman" w:hAnsi="Times New Roman" w:cs="Times New Roman"/>
                <w:sz w:val="24"/>
                <w:szCs w:val="24"/>
              </w:rPr>
              <w:t>y, w tym opis metody jego opracowywania zasady dotycz</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ce wprowadzania przez administratora istotnej zmiany metody, kluczowe informacje na temat tych wska</w:t>
            </w:r>
            <w:r w:rsidRPr="006D30F2">
              <w:rPr>
                <w:rFonts w:ascii="Times New Roman" w:hAnsi="Times New Roman" w:cs="Times New Roman" w:hint="eastAsia"/>
                <w:sz w:val="24"/>
                <w:szCs w:val="24"/>
              </w:rPr>
              <w:t>ź</w:t>
            </w:r>
            <w:r w:rsidRPr="006D30F2">
              <w:rPr>
                <w:rFonts w:ascii="Times New Roman" w:hAnsi="Times New Roman" w:cs="Times New Roman"/>
                <w:sz w:val="24"/>
                <w:szCs w:val="24"/>
              </w:rPr>
              <w:t>nik</w:t>
            </w:r>
            <w:r w:rsidRPr="006D30F2">
              <w:rPr>
                <w:rFonts w:ascii="Times New Roman" w:hAnsi="Times New Roman" w:cs="Times New Roman" w:hint="eastAsia"/>
                <w:sz w:val="24"/>
                <w:szCs w:val="24"/>
              </w:rPr>
              <w:t>ó</w:t>
            </w:r>
            <w:r w:rsidRPr="006D30F2">
              <w:rPr>
                <w:rFonts w:ascii="Times New Roman" w:hAnsi="Times New Roman" w:cs="Times New Roman"/>
                <w:sz w:val="24"/>
                <w:szCs w:val="24"/>
              </w:rPr>
              <w:t xml:space="preserve">w, </w:t>
            </w:r>
            <w:r w:rsidRPr="006D30F2">
              <w:rPr>
                <w:rFonts w:ascii="Times New Roman" w:hAnsi="Times New Roman" w:cs="Times New Roman"/>
                <w:sz w:val="24"/>
                <w:szCs w:val="24"/>
              </w:rPr>
              <w:br/>
              <w:t>w tym godziny ich publikacji, informacje o ich warto</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ci oraz procedury dotycz</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ce przyjmowania i rozpatrywania skarg dotycz</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cych procesu jego wyznaczania GPW Benchmark S.A. opublikowa</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 xml:space="preserve"> na stronie internetowej pod adresem: </w:t>
            </w:r>
            <w:hyperlink r:id="rId9" w:history="1">
              <w:r w:rsidRPr="006D30F2">
                <w:rPr>
                  <w:rFonts w:ascii="Times New Roman" w:hAnsi="Times New Roman" w:cs="Times New Roman"/>
                  <w:color w:val="0563C1" w:themeColor="hyperlink"/>
                  <w:sz w:val="24"/>
                  <w:szCs w:val="24"/>
                  <w:u w:val="single"/>
                </w:rPr>
                <w:t>www.gpwbenchmark.pl/</w:t>
              </w:r>
            </w:hyperlink>
            <w:r w:rsidRPr="006D30F2">
              <w:rPr>
                <w:rFonts w:ascii="Times New Roman" w:hAnsi="Times New Roman" w:cs="Times New Roman"/>
                <w:sz w:val="24"/>
                <w:szCs w:val="24"/>
              </w:rPr>
              <w:t>.</w:t>
            </w:r>
          </w:p>
          <w:p w14:paraId="2B5AF7B8" w14:textId="77777777" w:rsidR="006D30F2" w:rsidRPr="006D30F2" w:rsidRDefault="006D30F2" w:rsidP="006D30F2">
            <w:pPr>
              <w:spacing w:after="120"/>
              <w:jc w:val="both"/>
              <w:rPr>
                <w:rFonts w:ascii="Times New Roman" w:hAnsi="Times New Roman" w:cs="Times New Roman"/>
                <w:sz w:val="24"/>
                <w:szCs w:val="24"/>
              </w:rPr>
            </w:pPr>
            <w:r w:rsidRPr="006D30F2">
              <w:rPr>
                <w:rFonts w:ascii="Times New Roman" w:hAnsi="Times New Roman" w:cs="Times New Roman"/>
                <w:sz w:val="24"/>
                <w:szCs w:val="24"/>
              </w:rPr>
              <w:t>Bank stosuje WIRON oraz WIRON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 na podstawie zawartej z GPW Benchmark S.A. umowy uprawniaj</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 xml:space="preserve">cej Bank do jego stosowania. </w:t>
            </w:r>
          </w:p>
          <w:p w14:paraId="5BDE1387" w14:textId="77777777" w:rsidR="006D30F2" w:rsidRPr="006D30F2" w:rsidRDefault="006D30F2" w:rsidP="006D30F2">
            <w:pPr>
              <w:spacing w:after="120"/>
              <w:jc w:val="both"/>
              <w:rPr>
                <w:rFonts w:ascii="Times New Roman" w:hAnsi="Times New Roman" w:cs="Times New Roman"/>
                <w:sz w:val="24"/>
                <w:szCs w:val="24"/>
              </w:rPr>
            </w:pPr>
            <w:r w:rsidRPr="006D30F2">
              <w:rPr>
                <w:rFonts w:ascii="Times New Roman" w:hAnsi="Times New Roman" w:cs="Times New Roman"/>
                <w:sz w:val="24"/>
                <w:szCs w:val="24"/>
              </w:rPr>
              <w:t>WIRON jest wska</w:t>
            </w:r>
            <w:r w:rsidRPr="006D30F2">
              <w:rPr>
                <w:rFonts w:ascii="Times New Roman" w:hAnsi="Times New Roman" w:cs="Times New Roman" w:hint="eastAsia"/>
                <w:sz w:val="24"/>
                <w:szCs w:val="24"/>
              </w:rPr>
              <w:t>ź</w:t>
            </w:r>
            <w:r w:rsidRPr="006D30F2">
              <w:rPr>
                <w:rFonts w:ascii="Times New Roman" w:hAnsi="Times New Roman" w:cs="Times New Roman"/>
                <w:sz w:val="24"/>
                <w:szCs w:val="24"/>
              </w:rPr>
              <w:t>nikiem referencyjnym opracowywanym na podstawie danych dotycz</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cych transakcji depozytowych, kt</w:t>
            </w:r>
            <w:r w:rsidRPr="006D30F2">
              <w:rPr>
                <w:rFonts w:ascii="Times New Roman" w:hAnsi="Times New Roman" w:cs="Times New Roman" w:hint="eastAsia"/>
                <w:sz w:val="24"/>
                <w:szCs w:val="24"/>
              </w:rPr>
              <w:t>ó</w:t>
            </w:r>
            <w:r w:rsidRPr="006D30F2">
              <w:rPr>
                <w:rFonts w:ascii="Times New Roman" w:hAnsi="Times New Roman" w:cs="Times New Roman"/>
                <w:sz w:val="24"/>
                <w:szCs w:val="24"/>
              </w:rPr>
              <w:t xml:space="preserve">ry przedstawia </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redni poziom stopy procentowej wa</w:t>
            </w:r>
            <w:r w:rsidRPr="006D30F2">
              <w:rPr>
                <w:rFonts w:ascii="Times New Roman" w:hAnsi="Times New Roman" w:cs="Times New Roman" w:hint="eastAsia"/>
                <w:sz w:val="24"/>
                <w:szCs w:val="24"/>
              </w:rPr>
              <w:t>ż</w:t>
            </w:r>
            <w:r w:rsidRPr="006D30F2">
              <w:rPr>
                <w:rFonts w:ascii="Times New Roman" w:hAnsi="Times New Roman" w:cs="Times New Roman"/>
                <w:sz w:val="24"/>
                <w:szCs w:val="24"/>
              </w:rPr>
              <w:t>onej wolumenem, zawartych na termin zapadalno</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ci O/N (okres od dnia zawarcia transakcji do nast</w:t>
            </w:r>
            <w:r w:rsidRPr="006D30F2">
              <w:rPr>
                <w:rFonts w:ascii="Times New Roman" w:hAnsi="Times New Roman" w:cs="Times New Roman" w:hint="eastAsia"/>
                <w:sz w:val="24"/>
                <w:szCs w:val="24"/>
              </w:rPr>
              <w:t>ę</w:t>
            </w:r>
            <w:r w:rsidRPr="006D30F2">
              <w:rPr>
                <w:rFonts w:ascii="Times New Roman" w:hAnsi="Times New Roman" w:cs="Times New Roman"/>
                <w:sz w:val="24"/>
                <w:szCs w:val="24"/>
              </w:rPr>
              <w:t>pnego dnia roboczego) przez instytucje kredytowe, instytucje finansowe oraz du</w:t>
            </w:r>
            <w:r w:rsidRPr="006D30F2">
              <w:rPr>
                <w:rFonts w:ascii="Times New Roman" w:hAnsi="Times New Roman" w:cs="Times New Roman" w:hint="eastAsia"/>
                <w:sz w:val="24"/>
                <w:szCs w:val="24"/>
              </w:rPr>
              <w:t>ż</w:t>
            </w:r>
            <w:r w:rsidRPr="006D30F2">
              <w:rPr>
                <w:rFonts w:ascii="Times New Roman" w:hAnsi="Times New Roman" w:cs="Times New Roman"/>
                <w:sz w:val="24"/>
                <w:szCs w:val="24"/>
              </w:rPr>
              <w:t>e przedsi</w:t>
            </w:r>
            <w:r w:rsidRPr="006D30F2">
              <w:rPr>
                <w:rFonts w:ascii="Times New Roman" w:hAnsi="Times New Roman" w:cs="Times New Roman" w:hint="eastAsia"/>
                <w:sz w:val="24"/>
                <w:szCs w:val="24"/>
              </w:rPr>
              <w:t>ę</w:t>
            </w:r>
            <w:r w:rsidRPr="006D30F2">
              <w:rPr>
                <w:rFonts w:ascii="Times New Roman" w:hAnsi="Times New Roman" w:cs="Times New Roman"/>
                <w:sz w:val="24"/>
                <w:szCs w:val="24"/>
              </w:rPr>
              <w:t>biorstwa z podmiotami przekazuj</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cymi dane na rynku referencyjnym.</w:t>
            </w:r>
          </w:p>
          <w:p w14:paraId="719FF908"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val="en-US"/>
              </w:rPr>
            </w:pPr>
            <w:r w:rsidRPr="006D30F2">
              <w:rPr>
                <w:rFonts w:ascii="Times New Roman" w:hAnsi="Times New Roman" w:cs="Times New Roman"/>
                <w:sz w:val="24"/>
                <w:szCs w:val="24"/>
              </w:rPr>
              <w:t>WIRON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 jest wska</w:t>
            </w:r>
            <w:r w:rsidRPr="006D30F2">
              <w:rPr>
                <w:rFonts w:ascii="Times New Roman" w:hAnsi="Times New Roman" w:cs="Times New Roman" w:hint="eastAsia"/>
                <w:sz w:val="24"/>
                <w:szCs w:val="24"/>
              </w:rPr>
              <w:t>ź</w:t>
            </w:r>
            <w:r w:rsidRPr="006D30F2">
              <w:rPr>
                <w:rFonts w:ascii="Times New Roman" w:hAnsi="Times New Roman" w:cs="Times New Roman"/>
                <w:sz w:val="24"/>
                <w:szCs w:val="24"/>
              </w:rPr>
              <w:t>nikiem referencyjnym powstaj</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cym na podstawie zbioru warto</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ci WIRON poprzez z</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o</w:t>
            </w:r>
            <w:r w:rsidRPr="006D30F2">
              <w:rPr>
                <w:rFonts w:ascii="Times New Roman" w:hAnsi="Times New Roman" w:cs="Times New Roman" w:hint="eastAsia"/>
                <w:sz w:val="24"/>
                <w:szCs w:val="24"/>
              </w:rPr>
              <w:t>ż</w:t>
            </w:r>
            <w:r w:rsidRPr="006D30F2">
              <w:rPr>
                <w:rFonts w:ascii="Times New Roman" w:hAnsi="Times New Roman" w:cs="Times New Roman"/>
                <w:sz w:val="24"/>
                <w:szCs w:val="24"/>
              </w:rPr>
              <w:t>enie oprocentowania (jako procent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adany) wynikaj</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 xml:space="preserve">cego </w:t>
            </w:r>
            <w:r w:rsidRPr="006D30F2">
              <w:rPr>
                <w:rFonts w:ascii="Times New Roman" w:hAnsi="Times New Roman" w:cs="Times New Roman"/>
                <w:sz w:val="24"/>
                <w:szCs w:val="24"/>
              </w:rPr>
              <w:br/>
              <w:t>z szeregu tych warto</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ci z poszczeg</w:t>
            </w:r>
            <w:r w:rsidRPr="006D30F2">
              <w:rPr>
                <w:rFonts w:ascii="Times New Roman" w:hAnsi="Times New Roman" w:cs="Times New Roman" w:hint="eastAsia"/>
                <w:sz w:val="24"/>
                <w:szCs w:val="24"/>
              </w:rPr>
              <w:t>ó</w:t>
            </w:r>
            <w:r w:rsidRPr="006D30F2">
              <w:rPr>
                <w:rFonts w:ascii="Times New Roman" w:hAnsi="Times New Roman" w:cs="Times New Roman"/>
                <w:sz w:val="24"/>
                <w:szCs w:val="24"/>
              </w:rPr>
              <w:t>lnych dni roboczych dla okre</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lonego, zgodnie z ustalon</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 xml:space="preserve"> metod</w:t>
            </w:r>
            <w:r w:rsidRPr="006D30F2">
              <w:rPr>
                <w:rFonts w:ascii="Times New Roman" w:hAnsi="Times New Roman" w:cs="Times New Roman" w:hint="eastAsia"/>
                <w:sz w:val="24"/>
                <w:szCs w:val="24"/>
              </w:rPr>
              <w:t>ą</w:t>
            </w:r>
            <w:r w:rsidRPr="006D30F2">
              <w:rPr>
                <w:rFonts w:ascii="Times New Roman" w:hAnsi="Times New Roman" w:cs="Times New Roman"/>
                <w:sz w:val="24"/>
                <w:szCs w:val="24"/>
              </w:rPr>
              <w:t>, predefiniowanego wstecz terminu zapadalno</w:t>
            </w:r>
            <w:r w:rsidRPr="006D30F2">
              <w:rPr>
                <w:rFonts w:ascii="Times New Roman" w:hAnsi="Times New Roman" w:cs="Times New Roman" w:hint="eastAsia"/>
                <w:sz w:val="24"/>
                <w:szCs w:val="24"/>
              </w:rPr>
              <w:t>ś</w:t>
            </w:r>
            <w:r w:rsidRPr="006D30F2">
              <w:rPr>
                <w:rFonts w:ascii="Times New Roman" w:hAnsi="Times New Roman" w:cs="Times New Roman"/>
                <w:sz w:val="24"/>
                <w:szCs w:val="24"/>
              </w:rPr>
              <w:t xml:space="preserve">ci (np. </w:t>
            </w:r>
            <w:r w:rsidRPr="006D30F2">
              <w:rPr>
                <w:rFonts w:ascii="Times New Roman" w:hAnsi="Times New Roman" w:cs="Times New Roman"/>
                <w:sz w:val="24"/>
                <w:szCs w:val="24"/>
                <w:lang w:eastAsia="pl-PL"/>
              </w:rPr>
              <w:t xml:space="preserve">1M, 3M lub 6M). </w:t>
            </w:r>
            <w:r w:rsidRPr="006D30F2">
              <w:rPr>
                <w:rFonts w:ascii="Times New Roman" w:hAnsi="Times New Roman" w:cs="Times New Roman"/>
                <w:sz w:val="24"/>
                <w:szCs w:val="24"/>
              </w:rPr>
              <w:t>WIRON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 jest obliczany oraz publikowany przez GPW Benchmark S.A. Przyk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 xml:space="preserve">adem jest </w:t>
            </w:r>
            <w:r w:rsidRPr="006D30F2">
              <w:rPr>
                <w:rFonts w:ascii="Times New Roman" w:hAnsi="Times New Roman" w:cs="Times New Roman"/>
                <w:sz w:val="24"/>
                <w:szCs w:val="24"/>
              </w:rPr>
              <w:br/>
              <w:t>np. WIRON 1M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w:t>
            </w:r>
          </w:p>
        </w:tc>
      </w:tr>
      <w:tr w:rsidR="006D30F2" w:rsidRPr="006D30F2" w14:paraId="24C82CBD" w14:textId="77777777" w:rsidTr="00FB5D6C">
        <w:tc>
          <w:tcPr>
            <w:tcW w:w="9073" w:type="dxa"/>
          </w:tcPr>
          <w:tbl>
            <w:tblPr>
              <w:tblStyle w:val="Tabela-Siatka"/>
              <w:tblW w:w="9188" w:type="dxa"/>
              <w:tblLook w:val="04A0" w:firstRow="1" w:lastRow="0" w:firstColumn="1" w:lastColumn="0" w:noHBand="0" w:noVBand="1"/>
            </w:tblPr>
            <w:tblGrid>
              <w:gridCol w:w="6971"/>
              <w:gridCol w:w="2217"/>
            </w:tblGrid>
            <w:tr w:rsidR="006D30F2" w:rsidRPr="006D30F2" w14:paraId="4107CF4F" w14:textId="77777777" w:rsidTr="00FB5D6C">
              <w:tc>
                <w:tcPr>
                  <w:tcW w:w="9188" w:type="dxa"/>
                  <w:gridSpan w:val="2"/>
                </w:tcPr>
                <w:p w14:paraId="2291737A"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lastRenderedPageBreak/>
                    <w:t>Kody ISIN WIRON i WIRON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w:t>
                  </w:r>
                </w:p>
              </w:tc>
            </w:tr>
            <w:tr w:rsidR="006D30F2" w:rsidRPr="006D30F2" w14:paraId="0976E9DF" w14:textId="77777777" w:rsidTr="00FB5D6C">
              <w:tc>
                <w:tcPr>
                  <w:tcW w:w="6971" w:type="dxa"/>
                  <w:vAlign w:val="center"/>
                </w:tcPr>
                <w:p w14:paraId="63A8E82F"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WIRON</w:t>
                  </w:r>
                </w:p>
                <w:p w14:paraId="61E02EC9"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Warsaw Interest Rate Overnight</w:t>
                  </w:r>
                </w:p>
              </w:tc>
              <w:tc>
                <w:tcPr>
                  <w:tcW w:w="2217" w:type="dxa"/>
                  <w:vAlign w:val="center"/>
                </w:tcPr>
                <w:p w14:paraId="706FBB72"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PL9999996603</w:t>
                  </w:r>
                </w:p>
              </w:tc>
            </w:tr>
            <w:tr w:rsidR="006D30F2" w:rsidRPr="006D30F2" w14:paraId="3866EF5D" w14:textId="77777777" w:rsidTr="00FB5D6C">
              <w:tc>
                <w:tcPr>
                  <w:tcW w:w="6971" w:type="dxa"/>
                  <w:vAlign w:val="center"/>
                </w:tcPr>
                <w:p w14:paraId="31F6C164"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WIRON 1M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w:t>
                  </w:r>
                </w:p>
                <w:p w14:paraId="6265E7B4"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indeks na termin predefiniowany 1M oparty o WIRON</w:t>
                  </w:r>
                </w:p>
              </w:tc>
              <w:tc>
                <w:tcPr>
                  <w:tcW w:w="2217" w:type="dxa"/>
                  <w:vAlign w:val="center"/>
                </w:tcPr>
                <w:p w14:paraId="7A76BE14"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PL9999996595</w:t>
                  </w:r>
                </w:p>
              </w:tc>
            </w:tr>
            <w:tr w:rsidR="006D30F2" w:rsidRPr="006D30F2" w14:paraId="274ADFD1" w14:textId="77777777" w:rsidTr="00FB5D6C">
              <w:tc>
                <w:tcPr>
                  <w:tcW w:w="6971" w:type="dxa"/>
                  <w:vAlign w:val="center"/>
                </w:tcPr>
                <w:p w14:paraId="5FF9A46A"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WIRON 3M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w:t>
                  </w:r>
                </w:p>
                <w:p w14:paraId="07256A5A"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indeks na termin predefiniowany 3M oparty o WIRON</w:t>
                  </w:r>
                </w:p>
              </w:tc>
              <w:tc>
                <w:tcPr>
                  <w:tcW w:w="2217" w:type="dxa"/>
                  <w:vAlign w:val="center"/>
                </w:tcPr>
                <w:p w14:paraId="416DAB21"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PL9999996587</w:t>
                  </w:r>
                </w:p>
              </w:tc>
            </w:tr>
            <w:tr w:rsidR="006D30F2" w:rsidRPr="006D30F2" w14:paraId="2F236647" w14:textId="77777777" w:rsidTr="00FB5D6C">
              <w:tc>
                <w:tcPr>
                  <w:tcW w:w="6971" w:type="dxa"/>
                  <w:vAlign w:val="center"/>
                </w:tcPr>
                <w:p w14:paraId="7E790BB2"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WIRON 6M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w:t>
                  </w:r>
                </w:p>
                <w:p w14:paraId="04C2A367"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indeks na termin predefiniowany 6M oparty o WIRON</w:t>
                  </w:r>
                </w:p>
              </w:tc>
              <w:tc>
                <w:tcPr>
                  <w:tcW w:w="2217" w:type="dxa"/>
                  <w:vAlign w:val="center"/>
                </w:tcPr>
                <w:p w14:paraId="3A036416"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PL9999996579</w:t>
                  </w:r>
                </w:p>
              </w:tc>
            </w:tr>
            <w:tr w:rsidR="006D30F2" w:rsidRPr="006D30F2" w14:paraId="3D73E549" w14:textId="77777777" w:rsidTr="00FB5D6C">
              <w:tc>
                <w:tcPr>
                  <w:tcW w:w="6971" w:type="dxa"/>
                  <w:vAlign w:val="center"/>
                </w:tcPr>
                <w:p w14:paraId="7C1773CD"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WIRON CI</w:t>
                  </w:r>
                </w:p>
                <w:p w14:paraId="2AC280A7"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 xml:space="preserve">WIRON Indeks Jednopodstawowy </w:t>
                  </w:r>
                </w:p>
              </w:tc>
              <w:tc>
                <w:tcPr>
                  <w:tcW w:w="2217" w:type="dxa"/>
                  <w:vAlign w:val="center"/>
                </w:tcPr>
                <w:p w14:paraId="02CE3FD8"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PL9999996561</w:t>
                  </w:r>
                </w:p>
              </w:tc>
            </w:tr>
          </w:tbl>
          <w:p w14:paraId="222FF49F"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p>
        </w:tc>
      </w:tr>
      <w:tr w:rsidR="006D30F2" w:rsidRPr="006D30F2" w14:paraId="72E0029A" w14:textId="77777777" w:rsidTr="00FB5D6C">
        <w:tc>
          <w:tcPr>
            <w:tcW w:w="9073" w:type="dxa"/>
          </w:tcPr>
          <w:p w14:paraId="2E69123F"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Nazwa oraz dane adresowe administratora WIRON i WIRON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w:t>
            </w:r>
          </w:p>
          <w:p w14:paraId="0FEDCE96"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Administratorem WIRON I WIRON Stopa Sk</w:t>
            </w:r>
            <w:r w:rsidRPr="006D30F2">
              <w:rPr>
                <w:rFonts w:ascii="Times New Roman" w:hAnsi="Times New Roman" w:cs="Times New Roman" w:hint="eastAsia"/>
                <w:sz w:val="24"/>
                <w:szCs w:val="24"/>
              </w:rPr>
              <w:t>ł</w:t>
            </w:r>
            <w:r w:rsidRPr="006D30F2">
              <w:rPr>
                <w:rFonts w:ascii="Times New Roman" w:hAnsi="Times New Roman" w:cs="Times New Roman"/>
                <w:sz w:val="24"/>
                <w:szCs w:val="24"/>
              </w:rPr>
              <w:t>adana jest GPW Benchmark S.A.</w:t>
            </w:r>
          </w:p>
          <w:p w14:paraId="311AFFD9"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ul. Ksi</w:t>
            </w:r>
            <w:r w:rsidRPr="006D30F2">
              <w:rPr>
                <w:rFonts w:ascii="Times New Roman" w:hAnsi="Times New Roman" w:cs="Times New Roman" w:hint="eastAsia"/>
                <w:sz w:val="24"/>
                <w:szCs w:val="24"/>
              </w:rPr>
              <w:t>ążę</w:t>
            </w:r>
            <w:r w:rsidRPr="006D30F2">
              <w:rPr>
                <w:rFonts w:ascii="Times New Roman" w:hAnsi="Times New Roman" w:cs="Times New Roman"/>
                <w:sz w:val="24"/>
                <w:szCs w:val="24"/>
              </w:rPr>
              <w:t>ca 4, 00-498 Warszawa</w:t>
            </w:r>
          </w:p>
          <w:p w14:paraId="73D5F9E0"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rPr>
            </w:pPr>
            <w:r w:rsidRPr="006D30F2">
              <w:rPr>
                <w:rFonts w:ascii="Times New Roman" w:hAnsi="Times New Roman" w:cs="Times New Roman"/>
                <w:sz w:val="24"/>
                <w:szCs w:val="24"/>
              </w:rPr>
              <w:t xml:space="preserve">Tel. 22 628 32 32, Email: </w:t>
            </w:r>
            <w:hyperlink r:id="rId10" w:history="1">
              <w:r w:rsidRPr="006D30F2">
                <w:rPr>
                  <w:rFonts w:ascii="Times New Roman" w:hAnsi="Times New Roman" w:cs="Times New Roman"/>
                  <w:sz w:val="24"/>
                  <w:szCs w:val="24"/>
                </w:rPr>
                <w:t>kontakt@gpwbenchmark.pl</w:t>
              </w:r>
            </w:hyperlink>
          </w:p>
        </w:tc>
      </w:tr>
    </w:tbl>
    <w:p w14:paraId="16D0D472"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Montserrat" w:hAnsi="Montserrat" w:cs="Calibri"/>
          <w:sz w:val="20"/>
          <w:szCs w:val="20"/>
          <w:lang w:val="en-US"/>
        </w:rPr>
      </w:pPr>
    </w:p>
    <w:p w14:paraId="6472CEB0"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23701566"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1DF1AD45"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5B90E0EB"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601181B1" w14:textId="2325CBCC" w:rsid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7C082001" w14:textId="5EC0D0D4" w:rsid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261848A2"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1AA959D7"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6DE84E37"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040D8E44"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tbl>
      <w:tblPr>
        <w:tblStyle w:val="Tabela-Siatka"/>
        <w:tblW w:w="9063" w:type="dxa"/>
        <w:tblLook w:val="04A0" w:firstRow="1" w:lastRow="0" w:firstColumn="1" w:lastColumn="0" w:noHBand="0" w:noVBand="1"/>
      </w:tblPr>
      <w:tblGrid>
        <w:gridCol w:w="9063"/>
      </w:tblGrid>
      <w:tr w:rsidR="006D30F2" w:rsidRPr="006D30F2" w14:paraId="7D3AEB69" w14:textId="77777777" w:rsidTr="00FB5D6C">
        <w:tc>
          <w:tcPr>
            <w:tcW w:w="9063" w:type="dxa"/>
            <w:shd w:val="clear" w:color="auto" w:fill="E7E6E6" w:themeFill="background2"/>
          </w:tcPr>
          <w:p w14:paraId="17178AF7" w14:textId="77777777" w:rsidR="006D30F2" w:rsidRPr="006D30F2" w:rsidRDefault="006D30F2" w:rsidP="006D30F2">
            <w:pPr>
              <w:spacing w:line="360" w:lineRule="auto"/>
              <w:jc w:val="center"/>
              <w:rPr>
                <w:rFonts w:ascii="Times New Roman" w:hAnsi="Times New Roman" w:cs="Times New Roman"/>
                <w:sz w:val="24"/>
                <w:szCs w:val="24"/>
                <w:lang w:eastAsia="pl-PL"/>
              </w:rPr>
            </w:pPr>
            <w:r w:rsidRPr="006D30F2">
              <w:rPr>
                <w:rFonts w:ascii="Times New Roman" w:hAnsi="Times New Roman" w:cs="Times New Roman"/>
                <w:b/>
                <w:sz w:val="24"/>
                <w:szCs w:val="24"/>
              </w:rPr>
              <w:lastRenderedPageBreak/>
              <w:t>Informacje o wskaźniku POLSTR oraz innych wskaźnikach z rodziny POLSTR</w:t>
            </w:r>
          </w:p>
        </w:tc>
      </w:tr>
      <w:tr w:rsidR="006D30F2" w:rsidRPr="006D30F2" w14:paraId="57BDC98A" w14:textId="77777777" w:rsidTr="00FB5D6C">
        <w:trPr>
          <w:trHeight w:val="5226"/>
        </w:trPr>
        <w:tc>
          <w:tcPr>
            <w:tcW w:w="9063" w:type="dxa"/>
          </w:tcPr>
          <w:p w14:paraId="58661880" w14:textId="77777777" w:rsidR="006D30F2" w:rsidRPr="006D30F2" w:rsidRDefault="006D30F2" w:rsidP="006D30F2">
            <w:pPr>
              <w:spacing w:line="360" w:lineRule="auto"/>
              <w:jc w:val="both"/>
              <w:rPr>
                <w:rFonts w:ascii="Times New Roman" w:hAnsi="Times New Roman" w:cs="Times New Roman"/>
                <w:b/>
                <w:sz w:val="24"/>
                <w:szCs w:val="24"/>
                <w:lang w:eastAsia="pl-PL"/>
              </w:rPr>
            </w:pPr>
            <w:r w:rsidRPr="006D30F2">
              <w:rPr>
                <w:rFonts w:ascii="Times New Roman" w:hAnsi="Times New Roman" w:cs="Times New Roman"/>
                <w:b/>
                <w:sz w:val="24"/>
                <w:szCs w:val="24"/>
                <w:lang w:eastAsia="pl-PL"/>
              </w:rPr>
              <w:t>Regulaminy i metody POLSTR</w:t>
            </w:r>
          </w:p>
          <w:p w14:paraId="5FC6BBFE" w14:textId="77777777" w:rsidR="006D30F2" w:rsidRPr="006D30F2" w:rsidRDefault="006D30F2" w:rsidP="006D30F2">
            <w:pPr>
              <w:spacing w:after="120"/>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POLSTR opracowywany jest według metod samodzielnie określonych przez GPW Benchmark S.A. pod nadzorem Komisji Nadzoru Finansowego, na podstawie Regulaminu Indeksu Stopy Procentowej POLSTR, przyjętego Uchwałą Zarządu GPW Benchmark S.A. nr 61/2025 z dnia 23.05.2025 r.. Podstawowe informacje na temat POLSTR zostały określone przez Administratora w dokumencie: „Oświadczenie Administratora Indeksu Stopy Procentowej POLSTR (benchmark statement)”.</w:t>
            </w:r>
          </w:p>
          <w:p w14:paraId="6626E2C7" w14:textId="77777777" w:rsidR="006D30F2" w:rsidRPr="006D30F2" w:rsidRDefault="006D30F2" w:rsidP="006D30F2">
            <w:pPr>
              <w:spacing w:after="120"/>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 xml:space="preserve">POLSTR Stopa Składana opracowywany jest według metod samodzielnie określonych przez GPW Benchmark S.A. pod nadzorem Komisji Nadzoru Finansowego, na podstawie Rodziny Indeksów Składanych POLSTR, przyjętego Uchwałą Zarządu GPW Benchmark S.A. </w:t>
            </w:r>
            <w:r w:rsidRPr="006D30F2">
              <w:rPr>
                <w:rFonts w:ascii="Times New Roman" w:hAnsi="Times New Roman" w:cs="Times New Roman"/>
                <w:sz w:val="24"/>
                <w:szCs w:val="24"/>
                <w:lang w:eastAsia="pl-PL"/>
              </w:rPr>
              <w:br/>
              <w:t xml:space="preserve">nr 62/2025 z dnia 23 maja 2025). Podstawowe informacje na temat POLSTR Stopa Składana zostały określone przez Administratora w dokumencie: „Oświadczenie Administratora Rodziny Indeksów Składanych POLSTR (benchmark statement)”. </w:t>
            </w:r>
          </w:p>
          <w:p w14:paraId="7CD6CE85" w14:textId="77777777" w:rsidR="006D30F2" w:rsidRPr="006D30F2" w:rsidRDefault="006D30F2" w:rsidP="006D30F2">
            <w:pPr>
              <w:tabs>
                <w:tab w:val="left" w:pos="567"/>
              </w:tabs>
              <w:spacing w:after="200"/>
              <w:jc w:val="both"/>
              <w:outlineLvl w:val="1"/>
              <w:rPr>
                <w:rFonts w:ascii="Times New Roman" w:eastAsiaTheme="majorEastAsia" w:hAnsi="Times New Roman" w:cs="Times New Roman"/>
                <w:lang w:eastAsia="pl-PL"/>
              </w:rPr>
            </w:pPr>
            <w:r w:rsidRPr="006D30F2">
              <w:rPr>
                <w:rFonts w:ascii="Times New Roman" w:eastAsiaTheme="majorEastAsia" w:hAnsi="Times New Roman" w:cs="Times New Roman"/>
                <w:sz w:val="24"/>
                <w:szCs w:val="24"/>
                <w:lang w:eastAsia="pl-PL"/>
              </w:rPr>
              <w:t xml:space="preserve">POLSTR Indeks Jednopodstawowy opracowywany jest według metod samodzielnie określonych przez GPW Benchmark S.A. pod nadzorem Komisji Nadzoru Finansowego, na podstawie Regulaminu Rodziny Indeksów Składanych POLSTR, przyjętego Uchwałą Zarządu GPW Benchmark S.A. nr 62/2025 z dnia 23 maja 2025. Podstawowe informacje na temat POLSTR Indeks Jednopodstawowy zostały określone przez Administratora </w:t>
            </w:r>
            <w:r w:rsidRPr="006D30F2">
              <w:rPr>
                <w:rFonts w:ascii="Times New Roman" w:eastAsiaTheme="majorEastAsia" w:hAnsi="Times New Roman" w:cs="Times New Roman"/>
                <w:sz w:val="24"/>
                <w:szCs w:val="24"/>
                <w:lang w:eastAsia="pl-PL"/>
              </w:rPr>
              <w:br/>
              <w:t>w dokumencie: „Oświadczenie Administratora Rodziny Indeksów Składanych POLSTR (benchmark statement)”.</w:t>
            </w:r>
            <w:r w:rsidRPr="006D30F2">
              <w:rPr>
                <w:rFonts w:ascii="Times New Roman" w:eastAsiaTheme="majorEastAsia" w:hAnsi="Times New Roman" w:cs="Times New Roman"/>
                <w:lang w:eastAsia="pl-PL"/>
              </w:rPr>
              <w:t xml:space="preserve"> </w:t>
            </w:r>
          </w:p>
        </w:tc>
      </w:tr>
      <w:tr w:rsidR="006D30F2" w:rsidRPr="006D30F2" w14:paraId="4BC7C19A" w14:textId="77777777" w:rsidTr="00FB5D6C">
        <w:tc>
          <w:tcPr>
            <w:tcW w:w="9063" w:type="dxa"/>
          </w:tcPr>
          <w:p w14:paraId="26E98B7A" w14:textId="77777777" w:rsidR="006D30F2" w:rsidRPr="006D30F2" w:rsidRDefault="006D30F2" w:rsidP="006D30F2">
            <w:pPr>
              <w:spacing w:line="360" w:lineRule="auto"/>
              <w:jc w:val="both"/>
              <w:rPr>
                <w:rFonts w:ascii="Times New Roman" w:hAnsi="Times New Roman" w:cs="Times New Roman"/>
                <w:b/>
                <w:bCs/>
                <w:sz w:val="24"/>
                <w:szCs w:val="24"/>
                <w:lang w:eastAsia="pl-PL"/>
              </w:rPr>
            </w:pPr>
            <w:r w:rsidRPr="006D30F2">
              <w:rPr>
                <w:rFonts w:ascii="Times New Roman" w:hAnsi="Times New Roman" w:cs="Times New Roman"/>
                <w:b/>
                <w:bCs/>
                <w:sz w:val="24"/>
                <w:szCs w:val="24"/>
                <w:lang w:eastAsia="pl-PL"/>
              </w:rPr>
              <w:t>Definicje POLSTR, zgodnie z regulaminami administratora:</w:t>
            </w:r>
          </w:p>
          <w:p w14:paraId="689880B7" w14:textId="77777777" w:rsidR="006D30F2" w:rsidRPr="006D30F2" w:rsidRDefault="006D30F2" w:rsidP="006D30F2">
            <w:pPr>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 xml:space="preserve">POLSTR przedstawia średni poziom stopy procentowej ważonej wolumenem, rozumianym jako kwota nominalna, Transakcji Depozytowych w złotych zawartych na termin zapadalności O/N na hurtowym rynku pieniężnym. </w:t>
            </w:r>
          </w:p>
          <w:p w14:paraId="3D8ECB91" w14:textId="77777777" w:rsidR="006D30F2" w:rsidRPr="006D30F2" w:rsidRDefault="006D30F2" w:rsidP="006D30F2">
            <w:pPr>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POLSTR Stopa Składana jest wskaźnikiem referencyjnym powstającym na podstawie zbioru wartości POLSTR poprzez złożenie oprocentowania (jako procent składany) wynikającego z szeregu tych wartości z poszczególnych dni roboczych dla określonego, zgodnie z ustaloną metodą, predefiniowanego wstecz terminu zapadalności (np. 1M, 3M lub 6M). POLSTR Stopa Składana jest obliczany oraz publikowany przez GPW Benchmark S.A. Przykładem jest np. POLSTR 1M Stopa Składana.</w:t>
            </w:r>
          </w:p>
          <w:p w14:paraId="2A244069" w14:textId="77777777" w:rsidR="006D30F2" w:rsidRPr="006D30F2" w:rsidRDefault="006D30F2" w:rsidP="006D30F2">
            <w:pPr>
              <w:spacing w:after="120"/>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POLSTR Indeks Jednopodstawowy jest wskaźnikiem wyrażającym w punktach indeksowych skumulowana wartość inwestycji o określonej wartości startowej w dacie startowej określonej na 4 stycznia 2021 r., która odnawia się, z uwzględnieniem kapitalizacji odsetek, w każdej kolejnej dacie wskaźnika POLSTR począwszy od daty startowej, zgodnie z oprocentowaniem równym wartości POLSTR na tę datę wskaźnika.</w:t>
            </w:r>
          </w:p>
        </w:tc>
      </w:tr>
      <w:tr w:rsidR="006D30F2" w:rsidRPr="006D30F2" w14:paraId="46EA1979" w14:textId="77777777" w:rsidTr="00FB5D6C">
        <w:trPr>
          <w:trHeight w:val="1877"/>
        </w:trPr>
        <w:tc>
          <w:tcPr>
            <w:tcW w:w="9063" w:type="dxa"/>
          </w:tcPr>
          <w:p w14:paraId="495B1965" w14:textId="77777777" w:rsidR="006D30F2" w:rsidRPr="006D30F2" w:rsidRDefault="006D30F2" w:rsidP="006D30F2">
            <w:pPr>
              <w:spacing w:after="120"/>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 xml:space="preserve">Szczegóły, w tym opis metody opracowywania POLSTR, POLSTR Stopa Składana </w:t>
            </w:r>
            <w:r w:rsidRPr="006D30F2">
              <w:rPr>
                <w:rFonts w:ascii="Times New Roman" w:hAnsi="Times New Roman" w:cs="Times New Roman"/>
                <w:sz w:val="24"/>
                <w:szCs w:val="24"/>
                <w:lang w:eastAsia="pl-PL"/>
              </w:rPr>
              <w:br/>
              <w:t xml:space="preserve">i POLSTR Indeks Jednopodstawowy, zasady dotyczące wprowadzania przez administratora istotnej zmiany metody, kluczowe informacje na temat tych wskaźników, w tym godziny ich publikacji, informacje o ich wartości oraz procedury dotyczące przyjmowania </w:t>
            </w:r>
            <w:r w:rsidRPr="006D30F2">
              <w:rPr>
                <w:rFonts w:ascii="Times New Roman" w:hAnsi="Times New Roman" w:cs="Times New Roman"/>
                <w:sz w:val="24"/>
                <w:szCs w:val="24"/>
                <w:lang w:eastAsia="pl-PL"/>
              </w:rPr>
              <w:br/>
              <w:t xml:space="preserve">i rozpatrywania skarg dotyczących procesu jego wyznaczania GPW Benchmark S.A. opublikował na stronie internetowej pod adresem: </w:t>
            </w:r>
            <w:hyperlink r:id="rId11" w:history="1">
              <w:r w:rsidRPr="006D30F2">
                <w:rPr>
                  <w:rFonts w:ascii="Times New Roman" w:hAnsi="Times New Roman" w:cs="Times New Roman"/>
                  <w:color w:val="0563C1" w:themeColor="hyperlink"/>
                  <w:u w:val="single"/>
                </w:rPr>
                <w:t>www.gpwbenchmark.pl/</w:t>
              </w:r>
            </w:hyperlink>
            <w:r w:rsidRPr="006D30F2">
              <w:rPr>
                <w:color w:val="0563C1" w:themeColor="hyperlink"/>
                <w:u w:val="single"/>
              </w:rPr>
              <w:t>.</w:t>
            </w:r>
          </w:p>
        </w:tc>
      </w:tr>
    </w:tbl>
    <w:p w14:paraId="1DE0125F"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Montserrat" w:hAnsi="Montserrat" w:cs="Calibri"/>
          <w:sz w:val="20"/>
          <w:szCs w:val="20"/>
          <w:lang w:val="en-US"/>
        </w:rPr>
      </w:pPr>
    </w:p>
    <w:p w14:paraId="382D9111"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Montserrat" w:hAnsi="Montserrat" w:cs="Calibri"/>
          <w:sz w:val="20"/>
          <w:szCs w:val="20"/>
          <w:lang w:val="en-US"/>
        </w:rPr>
      </w:pPr>
    </w:p>
    <w:p w14:paraId="472308C0"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Montserrat" w:hAnsi="Montserrat" w:cs="Calibri"/>
          <w:sz w:val="20"/>
          <w:szCs w:val="20"/>
          <w:lang w:val="en-US"/>
        </w:rPr>
      </w:pPr>
    </w:p>
    <w:p w14:paraId="261383D8" w14:textId="77777777" w:rsidR="006D30F2" w:rsidRPr="006D30F2" w:rsidRDefault="006D30F2" w:rsidP="006D30F2">
      <w:pPr>
        <w:tabs>
          <w:tab w:val="left" w:pos="964"/>
          <w:tab w:val="left" w:pos="1304"/>
          <w:tab w:val="left" w:pos="1644"/>
          <w:tab w:val="left" w:pos="1985"/>
          <w:tab w:val="left" w:pos="2325"/>
        </w:tabs>
        <w:spacing w:after="0" w:line="240" w:lineRule="auto"/>
        <w:jc w:val="both"/>
        <w:rPr>
          <w:rFonts w:ascii="Montserrat" w:hAnsi="Montserrat" w:cs="Calibri"/>
          <w:sz w:val="20"/>
          <w:szCs w:val="20"/>
          <w:lang w:val="en-US"/>
        </w:rPr>
      </w:pPr>
    </w:p>
    <w:tbl>
      <w:tblPr>
        <w:tblStyle w:val="Tabela-Siatka1"/>
        <w:tblW w:w="9063" w:type="dxa"/>
        <w:tblLook w:val="04A0" w:firstRow="1" w:lastRow="0" w:firstColumn="1" w:lastColumn="0" w:noHBand="0" w:noVBand="1"/>
      </w:tblPr>
      <w:tblGrid>
        <w:gridCol w:w="6226"/>
        <w:gridCol w:w="1708"/>
        <w:gridCol w:w="1129"/>
      </w:tblGrid>
      <w:tr w:rsidR="006D30F2" w:rsidRPr="006D30F2" w14:paraId="070A2F6A" w14:textId="77777777" w:rsidTr="00FB5D6C">
        <w:tc>
          <w:tcPr>
            <w:tcW w:w="7934" w:type="dxa"/>
            <w:gridSpan w:val="2"/>
            <w:tcBorders>
              <w:top w:val="single" w:sz="4" w:space="0" w:color="auto"/>
            </w:tcBorders>
          </w:tcPr>
          <w:p w14:paraId="55B5C3FE" w14:textId="77777777" w:rsidR="006D30F2" w:rsidRPr="006D30F2" w:rsidRDefault="006D30F2" w:rsidP="006D30F2">
            <w:pPr>
              <w:spacing w:line="360" w:lineRule="auto"/>
              <w:jc w:val="both"/>
              <w:rPr>
                <w:rFonts w:ascii="Montserrat" w:hAnsi="Montserrat" w:cs="Calibri"/>
                <w:b/>
                <w:sz w:val="20"/>
                <w:szCs w:val="20"/>
              </w:rPr>
            </w:pPr>
            <w:r w:rsidRPr="006D30F2">
              <w:rPr>
                <w:rFonts w:ascii="Times New Roman" w:hAnsi="Times New Roman" w:cs="Times New Roman"/>
                <w:b/>
                <w:bCs/>
                <w:sz w:val="24"/>
                <w:szCs w:val="24"/>
                <w:lang w:eastAsia="pl-PL"/>
              </w:rPr>
              <w:lastRenderedPageBreak/>
              <w:t>Kody ISIN POLSTR i POLSTR Stopa Składana</w:t>
            </w:r>
          </w:p>
        </w:tc>
        <w:tc>
          <w:tcPr>
            <w:tcW w:w="1129" w:type="dxa"/>
            <w:tcBorders>
              <w:top w:val="single" w:sz="4" w:space="0" w:color="auto"/>
              <w:bottom w:val="nil"/>
            </w:tcBorders>
          </w:tcPr>
          <w:p w14:paraId="392CCEE6" w14:textId="77777777" w:rsidR="006D30F2" w:rsidRPr="006D30F2" w:rsidRDefault="006D30F2" w:rsidP="006D30F2">
            <w:pPr>
              <w:tabs>
                <w:tab w:val="left" w:pos="964"/>
                <w:tab w:val="left" w:pos="1304"/>
                <w:tab w:val="left" w:pos="1644"/>
                <w:tab w:val="left" w:pos="1985"/>
                <w:tab w:val="left" w:pos="2325"/>
              </w:tabs>
              <w:spacing w:line="360" w:lineRule="auto"/>
              <w:jc w:val="both"/>
              <w:rPr>
                <w:rFonts w:ascii="Montserrat" w:hAnsi="Montserrat" w:cs="Calibri"/>
                <w:b/>
                <w:sz w:val="20"/>
                <w:szCs w:val="20"/>
              </w:rPr>
            </w:pPr>
          </w:p>
        </w:tc>
      </w:tr>
      <w:tr w:rsidR="006D30F2" w:rsidRPr="006D30F2" w14:paraId="051490A7" w14:textId="77777777" w:rsidTr="00FB5D6C">
        <w:tc>
          <w:tcPr>
            <w:tcW w:w="6226" w:type="dxa"/>
            <w:vAlign w:val="center"/>
          </w:tcPr>
          <w:p w14:paraId="2CC9B187"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POLSTR</w:t>
            </w:r>
          </w:p>
          <w:p w14:paraId="50AC4E7A"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Polish Short Term Rate</w:t>
            </w:r>
          </w:p>
        </w:tc>
        <w:tc>
          <w:tcPr>
            <w:tcW w:w="1708" w:type="dxa"/>
            <w:vAlign w:val="center"/>
          </w:tcPr>
          <w:p w14:paraId="7D4B6E44"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PL9999996421</w:t>
            </w:r>
          </w:p>
        </w:tc>
        <w:tc>
          <w:tcPr>
            <w:tcW w:w="1129" w:type="dxa"/>
            <w:tcBorders>
              <w:top w:val="nil"/>
              <w:bottom w:val="nil"/>
            </w:tcBorders>
          </w:tcPr>
          <w:p w14:paraId="51D21FA3" w14:textId="77777777" w:rsidR="006D30F2" w:rsidRPr="006D30F2" w:rsidRDefault="006D30F2" w:rsidP="006D30F2">
            <w:pPr>
              <w:tabs>
                <w:tab w:val="left" w:pos="964"/>
                <w:tab w:val="left" w:pos="1304"/>
                <w:tab w:val="left" w:pos="1644"/>
                <w:tab w:val="left" w:pos="1985"/>
                <w:tab w:val="left" w:pos="2325"/>
              </w:tabs>
              <w:spacing w:line="360" w:lineRule="auto"/>
              <w:jc w:val="both"/>
              <w:rPr>
                <w:rFonts w:ascii="Montserrat" w:eastAsia="Times New Roman" w:hAnsi="Montserrat" w:cs="Calibri"/>
                <w:b/>
                <w:bCs/>
                <w:iCs/>
                <w:kern w:val="20"/>
                <w:sz w:val="20"/>
                <w:szCs w:val="20"/>
                <w:lang w:eastAsia="pl-PL"/>
              </w:rPr>
            </w:pPr>
          </w:p>
        </w:tc>
      </w:tr>
      <w:tr w:rsidR="006D30F2" w:rsidRPr="006D30F2" w14:paraId="6F2647E1" w14:textId="77777777" w:rsidTr="00FB5D6C">
        <w:tc>
          <w:tcPr>
            <w:tcW w:w="6226" w:type="dxa"/>
            <w:vAlign w:val="center"/>
          </w:tcPr>
          <w:p w14:paraId="00FE0162"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POLSTR 1M Stopa Składana</w:t>
            </w:r>
          </w:p>
          <w:p w14:paraId="2B87AE3F"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indeks na termin predefiniowany 1M oparty o POLSTR</w:t>
            </w:r>
          </w:p>
        </w:tc>
        <w:tc>
          <w:tcPr>
            <w:tcW w:w="1708" w:type="dxa"/>
            <w:vAlign w:val="center"/>
          </w:tcPr>
          <w:p w14:paraId="0F346FB9"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PL9999996413</w:t>
            </w:r>
          </w:p>
        </w:tc>
        <w:tc>
          <w:tcPr>
            <w:tcW w:w="1129" w:type="dxa"/>
            <w:tcBorders>
              <w:top w:val="nil"/>
              <w:bottom w:val="nil"/>
            </w:tcBorders>
          </w:tcPr>
          <w:p w14:paraId="69AEBA19" w14:textId="77777777" w:rsidR="006D30F2" w:rsidRPr="006D30F2" w:rsidRDefault="006D30F2" w:rsidP="006D30F2">
            <w:pPr>
              <w:tabs>
                <w:tab w:val="left" w:pos="964"/>
                <w:tab w:val="left" w:pos="1304"/>
                <w:tab w:val="left" w:pos="1644"/>
                <w:tab w:val="left" w:pos="1985"/>
                <w:tab w:val="left" w:pos="2325"/>
              </w:tabs>
              <w:spacing w:line="360" w:lineRule="auto"/>
              <w:jc w:val="both"/>
              <w:rPr>
                <w:rFonts w:ascii="Montserrat" w:eastAsia="Times New Roman" w:hAnsi="Montserrat" w:cs="Calibri"/>
                <w:b/>
                <w:bCs/>
                <w:iCs/>
                <w:kern w:val="20"/>
                <w:sz w:val="20"/>
                <w:szCs w:val="20"/>
                <w:lang w:eastAsia="pl-PL"/>
              </w:rPr>
            </w:pPr>
          </w:p>
        </w:tc>
      </w:tr>
      <w:tr w:rsidR="006D30F2" w:rsidRPr="006D30F2" w14:paraId="354B398D" w14:textId="77777777" w:rsidTr="00FB5D6C">
        <w:tc>
          <w:tcPr>
            <w:tcW w:w="6226" w:type="dxa"/>
            <w:vAlign w:val="center"/>
          </w:tcPr>
          <w:p w14:paraId="2AA06F63"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POLSTR 3M Stopa Składana</w:t>
            </w:r>
          </w:p>
          <w:p w14:paraId="67DDEB20"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indeks na termin predefiniowany 3M oparty o POLSTR</w:t>
            </w:r>
          </w:p>
        </w:tc>
        <w:tc>
          <w:tcPr>
            <w:tcW w:w="1708" w:type="dxa"/>
            <w:vAlign w:val="center"/>
          </w:tcPr>
          <w:p w14:paraId="47921360"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PL9999996405</w:t>
            </w:r>
          </w:p>
        </w:tc>
        <w:tc>
          <w:tcPr>
            <w:tcW w:w="1129" w:type="dxa"/>
            <w:tcBorders>
              <w:top w:val="nil"/>
              <w:bottom w:val="nil"/>
            </w:tcBorders>
          </w:tcPr>
          <w:p w14:paraId="49FE212B" w14:textId="77777777" w:rsidR="006D30F2" w:rsidRPr="006D30F2" w:rsidRDefault="006D30F2" w:rsidP="006D30F2">
            <w:pPr>
              <w:tabs>
                <w:tab w:val="left" w:pos="964"/>
                <w:tab w:val="left" w:pos="1304"/>
                <w:tab w:val="left" w:pos="1644"/>
                <w:tab w:val="left" w:pos="1985"/>
                <w:tab w:val="left" w:pos="2325"/>
              </w:tabs>
              <w:spacing w:line="360" w:lineRule="auto"/>
              <w:jc w:val="both"/>
              <w:rPr>
                <w:rFonts w:ascii="Montserrat" w:eastAsia="Times New Roman" w:hAnsi="Montserrat" w:cs="Calibri"/>
                <w:b/>
                <w:bCs/>
                <w:iCs/>
                <w:kern w:val="20"/>
                <w:sz w:val="20"/>
                <w:szCs w:val="20"/>
                <w:lang w:eastAsia="pl-PL"/>
              </w:rPr>
            </w:pPr>
          </w:p>
        </w:tc>
      </w:tr>
      <w:tr w:rsidR="006D30F2" w:rsidRPr="006D30F2" w14:paraId="6BFAAFDD" w14:textId="77777777" w:rsidTr="00FB5D6C">
        <w:tc>
          <w:tcPr>
            <w:tcW w:w="6226" w:type="dxa"/>
            <w:vAlign w:val="center"/>
          </w:tcPr>
          <w:p w14:paraId="21EBA247"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POLSTR 6M Stopa Składana</w:t>
            </w:r>
          </w:p>
          <w:p w14:paraId="67BD3F47"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indeks na termin predefiniowany 6M oparty o POLSTR</w:t>
            </w:r>
          </w:p>
        </w:tc>
        <w:tc>
          <w:tcPr>
            <w:tcW w:w="1708" w:type="dxa"/>
            <w:vAlign w:val="center"/>
          </w:tcPr>
          <w:p w14:paraId="62317D8D"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PL9999996397</w:t>
            </w:r>
          </w:p>
        </w:tc>
        <w:tc>
          <w:tcPr>
            <w:tcW w:w="1129" w:type="dxa"/>
            <w:tcBorders>
              <w:top w:val="nil"/>
              <w:bottom w:val="nil"/>
            </w:tcBorders>
          </w:tcPr>
          <w:p w14:paraId="1FAA869B" w14:textId="77777777" w:rsidR="006D30F2" w:rsidRPr="006D30F2" w:rsidRDefault="006D30F2" w:rsidP="006D30F2">
            <w:pPr>
              <w:tabs>
                <w:tab w:val="left" w:pos="964"/>
                <w:tab w:val="left" w:pos="1304"/>
                <w:tab w:val="left" w:pos="1644"/>
                <w:tab w:val="left" w:pos="1985"/>
                <w:tab w:val="left" w:pos="2325"/>
              </w:tabs>
              <w:spacing w:line="360" w:lineRule="auto"/>
              <w:jc w:val="both"/>
              <w:rPr>
                <w:rFonts w:ascii="Montserrat" w:eastAsia="Times New Roman" w:hAnsi="Montserrat" w:cs="Calibri"/>
                <w:b/>
                <w:bCs/>
                <w:iCs/>
                <w:kern w:val="20"/>
                <w:sz w:val="20"/>
                <w:szCs w:val="20"/>
                <w:lang w:eastAsia="pl-PL"/>
              </w:rPr>
            </w:pPr>
          </w:p>
        </w:tc>
      </w:tr>
      <w:tr w:rsidR="006D30F2" w:rsidRPr="006D30F2" w14:paraId="1C0A756C" w14:textId="77777777" w:rsidTr="00FB5D6C">
        <w:tc>
          <w:tcPr>
            <w:tcW w:w="6226" w:type="dxa"/>
            <w:vAlign w:val="center"/>
          </w:tcPr>
          <w:p w14:paraId="0B399D09"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POLSTR CI</w:t>
            </w:r>
          </w:p>
          <w:p w14:paraId="3C4A1D8A"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POLSTR Indeks Jednopodstawowy o dacie bazowej 4 stycznia 2021 r.</w:t>
            </w:r>
          </w:p>
        </w:tc>
        <w:tc>
          <w:tcPr>
            <w:tcW w:w="1708" w:type="dxa"/>
            <w:vAlign w:val="center"/>
          </w:tcPr>
          <w:p w14:paraId="025C049D"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PL9999996389</w:t>
            </w:r>
          </w:p>
        </w:tc>
        <w:tc>
          <w:tcPr>
            <w:tcW w:w="1129" w:type="dxa"/>
            <w:tcBorders>
              <w:top w:val="nil"/>
              <w:bottom w:val="nil"/>
            </w:tcBorders>
          </w:tcPr>
          <w:p w14:paraId="1F29A778" w14:textId="77777777" w:rsidR="006D30F2" w:rsidRPr="006D30F2" w:rsidRDefault="006D30F2" w:rsidP="006D30F2">
            <w:pPr>
              <w:tabs>
                <w:tab w:val="left" w:pos="964"/>
                <w:tab w:val="left" w:pos="1304"/>
                <w:tab w:val="left" w:pos="1644"/>
                <w:tab w:val="left" w:pos="1985"/>
                <w:tab w:val="left" w:pos="2325"/>
              </w:tabs>
              <w:spacing w:line="360" w:lineRule="auto"/>
              <w:jc w:val="both"/>
              <w:rPr>
                <w:rFonts w:ascii="Montserrat" w:eastAsia="Times New Roman" w:hAnsi="Montserrat" w:cs="Calibri"/>
                <w:b/>
                <w:bCs/>
                <w:iCs/>
                <w:kern w:val="20"/>
                <w:sz w:val="20"/>
                <w:szCs w:val="20"/>
                <w:lang w:eastAsia="pl-PL"/>
              </w:rPr>
            </w:pPr>
          </w:p>
        </w:tc>
      </w:tr>
      <w:tr w:rsidR="006D30F2" w:rsidRPr="006D30F2" w14:paraId="64023AE0" w14:textId="77777777" w:rsidTr="00FB5D6C">
        <w:tc>
          <w:tcPr>
            <w:tcW w:w="9063" w:type="dxa"/>
            <w:gridSpan w:val="3"/>
            <w:tcBorders>
              <w:bottom w:val="single" w:sz="4" w:space="0" w:color="auto"/>
            </w:tcBorders>
          </w:tcPr>
          <w:p w14:paraId="58477E02" w14:textId="77777777" w:rsidR="006D30F2" w:rsidRPr="006D30F2" w:rsidRDefault="006D30F2" w:rsidP="006D30F2">
            <w:pPr>
              <w:tabs>
                <w:tab w:val="left" w:pos="964"/>
                <w:tab w:val="left" w:pos="1304"/>
                <w:tab w:val="left" w:pos="1644"/>
                <w:tab w:val="left" w:pos="1985"/>
                <w:tab w:val="left" w:pos="2325"/>
              </w:tabs>
              <w:spacing w:line="360" w:lineRule="auto"/>
              <w:jc w:val="both"/>
              <w:rPr>
                <w:rFonts w:ascii="Times New Roman" w:hAnsi="Times New Roman" w:cs="Times New Roman"/>
                <w:b/>
                <w:sz w:val="24"/>
                <w:szCs w:val="24"/>
              </w:rPr>
            </w:pPr>
            <w:r w:rsidRPr="006D30F2">
              <w:rPr>
                <w:rFonts w:ascii="Times New Roman" w:hAnsi="Times New Roman" w:cs="Times New Roman"/>
                <w:b/>
                <w:sz w:val="24"/>
                <w:szCs w:val="24"/>
              </w:rPr>
              <w:t>Nazwa oraz dane adresowe administratora POLSTR i POLSTR Stopa Składana</w:t>
            </w:r>
          </w:p>
          <w:p w14:paraId="49BA0165"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Administratorem POLSTR i POLSTR Stopa Składana jest GPW Benchmark S.A.</w:t>
            </w:r>
          </w:p>
          <w:p w14:paraId="7FD46464" w14:textId="77777777" w:rsidR="006D30F2" w:rsidRPr="006D30F2" w:rsidRDefault="006D30F2" w:rsidP="006D30F2">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6D30F2">
              <w:rPr>
                <w:rFonts w:ascii="Times New Roman" w:hAnsi="Times New Roman" w:cs="Times New Roman"/>
                <w:sz w:val="24"/>
                <w:szCs w:val="24"/>
                <w:lang w:eastAsia="pl-PL"/>
              </w:rPr>
              <w:t>ul. Książęca 4, 00-498 Warszawa</w:t>
            </w:r>
          </w:p>
          <w:p w14:paraId="121C5554" w14:textId="77777777" w:rsidR="006D30F2" w:rsidRPr="006D30F2" w:rsidRDefault="006D30F2" w:rsidP="006D30F2">
            <w:pPr>
              <w:tabs>
                <w:tab w:val="left" w:pos="964"/>
                <w:tab w:val="left" w:pos="1304"/>
                <w:tab w:val="left" w:pos="1644"/>
                <w:tab w:val="left" w:pos="1985"/>
                <w:tab w:val="left" w:pos="2325"/>
              </w:tabs>
              <w:spacing w:line="360" w:lineRule="auto"/>
              <w:jc w:val="both"/>
              <w:rPr>
                <w:rFonts w:ascii="Montserrat" w:hAnsi="Montserrat" w:cs="Calibri"/>
                <w:sz w:val="20"/>
                <w:szCs w:val="20"/>
                <w:lang w:eastAsia="pl-PL"/>
              </w:rPr>
            </w:pPr>
            <w:r w:rsidRPr="006D30F2">
              <w:rPr>
                <w:rFonts w:ascii="Times New Roman" w:hAnsi="Times New Roman" w:cs="Times New Roman"/>
                <w:sz w:val="24"/>
                <w:szCs w:val="24"/>
                <w:lang w:eastAsia="pl-PL"/>
              </w:rPr>
              <w:t>Tel. 22 628 32 32, Email</w:t>
            </w:r>
            <w:r w:rsidRPr="006D30F2">
              <w:rPr>
                <w:rFonts w:ascii="Montserrat" w:hAnsi="Montserrat" w:cs="Calibri"/>
                <w:sz w:val="20"/>
                <w:szCs w:val="20"/>
              </w:rPr>
              <w:t xml:space="preserve">: </w:t>
            </w:r>
            <w:hyperlink r:id="rId12" w:history="1">
              <w:r w:rsidRPr="006D30F2">
                <w:rPr>
                  <w:rFonts w:ascii="Montserrat" w:hAnsi="Montserrat" w:cs="Calibri"/>
                  <w:color w:val="0563C1" w:themeColor="hyperlink"/>
                  <w:sz w:val="20"/>
                  <w:szCs w:val="20"/>
                  <w:u w:val="single"/>
                </w:rPr>
                <w:t>kontakt@gpwbenchmark.pl</w:t>
              </w:r>
            </w:hyperlink>
          </w:p>
        </w:tc>
      </w:tr>
    </w:tbl>
    <w:p w14:paraId="44998887" w14:textId="77777777" w:rsidR="006D30F2" w:rsidRPr="006D30F2" w:rsidRDefault="006D30F2" w:rsidP="006D30F2">
      <w:pPr>
        <w:tabs>
          <w:tab w:val="left" w:pos="567"/>
        </w:tabs>
        <w:spacing w:before="120" w:after="0" w:line="240" w:lineRule="auto"/>
        <w:ind w:left="567" w:hanging="567"/>
        <w:jc w:val="both"/>
        <w:outlineLvl w:val="1"/>
        <w:rPr>
          <w:rFonts w:ascii="Times New Roman" w:eastAsia="Calibri" w:hAnsi="Times New Roman" w:cs="Times New Roman"/>
          <w:sz w:val="24"/>
          <w:szCs w:val="24"/>
        </w:rPr>
      </w:pPr>
    </w:p>
    <w:p w14:paraId="51178520" w14:textId="77777777" w:rsidR="006D30F2" w:rsidRPr="006D30F2" w:rsidRDefault="006D30F2" w:rsidP="006D30F2">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6D30F2">
        <w:rPr>
          <w:rFonts w:ascii="Times New Roman" w:eastAsia="Calibri" w:hAnsi="Times New Roman" w:cs="Times New Roman"/>
          <w:sz w:val="24"/>
          <w:szCs w:val="24"/>
        </w:rPr>
        <w:t xml:space="preserve">Informacje przedstawione w niniejszym dokumencie mają charakter ogólny. Klienci </w:t>
      </w:r>
      <w:r w:rsidRPr="006D30F2">
        <w:rPr>
          <w:rFonts w:ascii="Times New Roman" w:eastAsia="Calibri" w:hAnsi="Times New Roman" w:cs="Times New Roman"/>
          <w:sz w:val="24"/>
          <w:szCs w:val="24"/>
        </w:rPr>
        <w:br/>
        <w:t xml:space="preserve">i kontrahenci Banku, którzy zawarli (lub mogą w przyszłości zawrzeć) umowę z Bankiem </w:t>
      </w:r>
      <w:r w:rsidRPr="006D30F2">
        <w:rPr>
          <w:rFonts w:ascii="Times New Roman" w:eastAsia="Calibri" w:hAnsi="Times New Roman" w:cs="Times New Roman"/>
          <w:sz w:val="24"/>
          <w:szCs w:val="24"/>
        </w:rPr>
        <w:br/>
        <w:t>lub nabyli (lub mogą w przyszłości nabyć) instrumenty finansowe, które zawierają odniesienie do wskaźnika referencyjnego, powinni przeprowadzić niezależną analizę ryzyka. Bank nie jest w stanie zapewnić, że powyższe informacje są wyczerpujące, ani też nie jest w stanie wyrazić poglądu na temat prawdopodobieństwa wystąpienia jakiegokolwiek zdarzenia dotyczącego wskaźnika referencyjnego.</w:t>
      </w:r>
    </w:p>
    <w:p w14:paraId="12A237B1" w14:textId="77777777" w:rsidR="006D7A3E" w:rsidRDefault="006D7A3E"/>
    <w:sectPr w:rsidR="006D7A3E" w:rsidSect="00D9007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EBAA" w14:textId="77777777" w:rsidR="006D30F2" w:rsidRDefault="006D30F2" w:rsidP="006D30F2">
      <w:pPr>
        <w:spacing w:after="0" w:line="240" w:lineRule="auto"/>
      </w:pPr>
      <w:r>
        <w:separator/>
      </w:r>
    </w:p>
  </w:endnote>
  <w:endnote w:type="continuationSeparator" w:id="0">
    <w:p w14:paraId="09BB4F15" w14:textId="77777777" w:rsidR="006D30F2" w:rsidRDefault="006D30F2" w:rsidP="006D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618E" w14:textId="77777777" w:rsidR="006D30F2" w:rsidRDefault="006D30F2" w:rsidP="006D30F2">
      <w:pPr>
        <w:spacing w:after="0" w:line="240" w:lineRule="auto"/>
      </w:pPr>
      <w:r>
        <w:separator/>
      </w:r>
    </w:p>
  </w:footnote>
  <w:footnote w:type="continuationSeparator" w:id="0">
    <w:p w14:paraId="40784A5E" w14:textId="77777777" w:rsidR="006D30F2" w:rsidRDefault="006D30F2" w:rsidP="006D30F2">
      <w:pPr>
        <w:spacing w:after="0" w:line="240" w:lineRule="auto"/>
      </w:pPr>
      <w:r>
        <w:continuationSeparator/>
      </w:r>
    </w:p>
  </w:footnote>
  <w:footnote w:id="1">
    <w:p w14:paraId="0E5AED8D" w14:textId="77777777" w:rsidR="006D30F2" w:rsidRPr="00D342F7" w:rsidRDefault="006D30F2" w:rsidP="006D30F2">
      <w:pPr>
        <w:pStyle w:val="Tekstprzypisudolnego"/>
        <w:rPr>
          <w:rFonts w:ascii="Times New Roman" w:hAnsi="Times New Roman" w:cs="Times New Roman"/>
          <w:szCs w:val="16"/>
        </w:rPr>
      </w:pPr>
      <w:r>
        <w:rPr>
          <w:rStyle w:val="Odwoanieprzypisudolnego"/>
        </w:rPr>
        <w:footnoteRef/>
      </w:r>
      <w:r>
        <w:t xml:space="preserve"> </w:t>
      </w:r>
      <w:r w:rsidRPr="0050664E">
        <w:rPr>
          <w:rFonts w:ascii="Calibri" w:hAnsi="Calibri" w:cs="Calibri"/>
          <w:szCs w:val="16"/>
        </w:rPr>
        <w:t>Rozporządzenie Parlamentu Europejskiego i Rady (UE) 2016/1011 w sprawie indeksów stosowanych jako wskaźniki referencyjne w instrumentach finansowych i umowach finansowych lub do pomiaru wyników funduszy inwestycyjnych i zmieniające dyrektywy 2008/48/WE i 2014/17/UE oraz rozporządzenie (UE) nr 596/2014 oraz akty wykonawcze i delegowane do tego rozporządzenia („</w:t>
      </w:r>
      <w:r w:rsidRPr="00D342F7">
        <w:rPr>
          <w:rFonts w:ascii="Times New Roman" w:eastAsia="Calibri" w:hAnsi="Times New Roman" w:cs="Times New Roman"/>
          <w:b/>
          <w:bCs/>
        </w:rPr>
        <w:t>Rozporządzenie BMR</w:t>
      </w:r>
      <w:r w:rsidRPr="00D342F7">
        <w:rPr>
          <w:rFonts w:ascii="Times New Roman" w:hAnsi="Times New Roman" w:cs="Times New Roman"/>
          <w:szCs w:val="16"/>
        </w:rPr>
        <w:t>”).</w:t>
      </w:r>
    </w:p>
  </w:footnote>
  <w:footnote w:id="2">
    <w:p w14:paraId="5157F44B" w14:textId="77777777" w:rsidR="006D30F2" w:rsidRDefault="006D30F2" w:rsidP="006D30F2">
      <w:pPr>
        <w:pStyle w:val="Tekstprzypisudolnego"/>
        <w:rPr>
          <w:rFonts w:ascii="Calibri" w:hAnsi="Calibri" w:cs="Calibri"/>
          <w:szCs w:val="16"/>
        </w:rPr>
      </w:pPr>
      <w:r>
        <w:rPr>
          <w:rStyle w:val="Odwoanieprzypisudolnego"/>
          <w:rFonts w:ascii="Calibri" w:eastAsiaTheme="majorEastAsia" w:hAnsi="Calibri" w:cs="Calibri"/>
          <w:szCs w:val="16"/>
        </w:rPr>
        <w:footnoteRef/>
      </w:r>
      <w:r>
        <w:rPr>
          <w:rFonts w:ascii="Calibri" w:hAnsi="Calibri" w:cs="Calibri"/>
          <w:szCs w:val="16"/>
        </w:rPr>
        <w:t xml:space="preserve"> https://gpwbenchmark.pl/pub/BENCHMARK/files/WIBID_WIBOR/Oswiadczenie2021_1.pdf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25CE1"/>
    <w:multiLevelType w:val="hybridMultilevel"/>
    <w:tmpl w:val="09D47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9B"/>
    <w:rsid w:val="003E369B"/>
    <w:rsid w:val="00444BA9"/>
    <w:rsid w:val="005B6CB1"/>
    <w:rsid w:val="006D30F2"/>
    <w:rsid w:val="006D7A3E"/>
    <w:rsid w:val="008814F6"/>
    <w:rsid w:val="009905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9B77"/>
  <w15:chartTrackingRefBased/>
  <w15:docId w15:val="{1C6AB9DA-ED18-4594-BBB0-702692D9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D30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30F2"/>
    <w:rPr>
      <w:sz w:val="20"/>
      <w:szCs w:val="20"/>
    </w:rPr>
  </w:style>
  <w:style w:type="table" w:styleId="Tabela-Siatka">
    <w:name w:val="Table Grid"/>
    <w:basedOn w:val="Standardowy"/>
    <w:uiPriority w:val="39"/>
    <w:rsid w:val="006D30F2"/>
    <w:pPr>
      <w:spacing w:after="0" w:line="240" w:lineRule="auto"/>
    </w:pPr>
    <w:rPr>
      <w:rFonts w:ascii="Montserrat" w:hAnsi="Montserrat"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r"/>
    <w:basedOn w:val="Domylnaczcionkaakapitu"/>
    <w:uiPriority w:val="99"/>
    <w:rsid w:val="006D30F2"/>
    <w:rPr>
      <w:vertAlign w:val="superscript"/>
    </w:rPr>
  </w:style>
  <w:style w:type="table" w:customStyle="1" w:styleId="Tabela-Siatka1">
    <w:name w:val="Tabela - Siatka1"/>
    <w:basedOn w:val="Standardowy"/>
    <w:next w:val="Tabela-Siatka"/>
    <w:uiPriority w:val="39"/>
    <w:rsid w:val="006D3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gpwbenchmark.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wbenchmark.pl/" TargetMode="External"/><Relationship Id="rId12" Type="http://schemas.openxmlformats.org/officeDocument/2006/relationships/hyperlink" Target="mailto:kontakt@gpwbenchmar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wbenchmark.pl/" TargetMode="External"/><Relationship Id="rId5" Type="http://schemas.openxmlformats.org/officeDocument/2006/relationships/footnotes" Target="footnotes.xml"/><Relationship Id="rId10" Type="http://schemas.openxmlformats.org/officeDocument/2006/relationships/hyperlink" Target="mailto:kontakt@gpwbenchmark.pl" TargetMode="External"/><Relationship Id="rId4" Type="http://schemas.openxmlformats.org/officeDocument/2006/relationships/webSettings" Target="webSettings.xml"/><Relationship Id="rId9" Type="http://schemas.openxmlformats.org/officeDocument/2006/relationships/hyperlink" Target="http://www.gpwbenchmark.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3141</Words>
  <Characters>18846</Characters>
  <Application>Microsoft Office Word</Application>
  <DocSecurity>0</DocSecurity>
  <Lines>157</Lines>
  <Paragraphs>43</Paragraphs>
  <ScaleCrop>false</ScaleCrop>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Mazurkiewicz</dc:creator>
  <cp:keywords/>
  <dc:description/>
  <cp:lastModifiedBy>Katarzyna Mazurkiewicz</cp:lastModifiedBy>
  <cp:revision>2</cp:revision>
  <dcterms:created xsi:type="dcterms:W3CDTF">2026-02-19T13:02:00Z</dcterms:created>
  <dcterms:modified xsi:type="dcterms:W3CDTF">2026-02-19T13:02:00Z</dcterms:modified>
</cp:coreProperties>
</file>